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6E7C9E" w:rsidRPr="00D53D4F" w:rsidTr="00F23D64">
        <w:tc>
          <w:tcPr>
            <w:tcW w:w="1560" w:type="dxa"/>
            <w:shd w:val="clear" w:color="auto" w:fill="F2F2F2" w:themeFill="background1" w:themeFillShade="F2"/>
          </w:tcPr>
          <w:p w:rsidR="006E7C9E" w:rsidRPr="00DD14EC" w:rsidRDefault="006E7C9E" w:rsidP="00800699">
            <w:pPr>
              <w:rPr>
                <w:rFonts w:cs="Calibri"/>
                <w:b/>
                <w:szCs w:val="22"/>
              </w:rPr>
            </w:pPr>
            <w:r w:rsidRPr="00DD14EC">
              <w:rPr>
                <w:rFonts w:cs="Calibri"/>
                <w:b/>
                <w:szCs w:val="22"/>
              </w:rPr>
              <w:t>Purpose</w:t>
            </w:r>
          </w:p>
        </w:tc>
        <w:tc>
          <w:tcPr>
            <w:tcW w:w="8221" w:type="dxa"/>
            <w:shd w:val="clear" w:color="auto" w:fill="auto"/>
          </w:tcPr>
          <w:p w:rsidR="006E7C9E" w:rsidRPr="00DD14EC" w:rsidRDefault="003461D0" w:rsidP="00103182">
            <w:pPr>
              <w:rPr>
                <w:rFonts w:cs="Calibri"/>
                <w:szCs w:val="22"/>
              </w:rPr>
            </w:pPr>
            <w:r>
              <w:rPr>
                <w:rFonts w:cs="Calibri"/>
                <w:szCs w:val="22"/>
              </w:rPr>
              <w:t xml:space="preserve">This document </w:t>
            </w:r>
            <w:r w:rsidR="00103182">
              <w:rPr>
                <w:rFonts w:cs="Calibri"/>
                <w:szCs w:val="22"/>
              </w:rPr>
              <w:t xml:space="preserve">is </w:t>
            </w:r>
            <w:r>
              <w:rPr>
                <w:rFonts w:cs="Calibri"/>
                <w:szCs w:val="22"/>
              </w:rPr>
              <w:t>a guide t</w:t>
            </w:r>
            <w:r w:rsidR="006E7C9E" w:rsidRPr="00DD14EC">
              <w:rPr>
                <w:rFonts w:cs="Calibri"/>
                <w:szCs w:val="22"/>
              </w:rPr>
              <w:t xml:space="preserve">o identify and </w:t>
            </w:r>
            <w:r w:rsidR="00370EC6">
              <w:rPr>
                <w:rFonts w:cs="Calibri"/>
                <w:szCs w:val="22"/>
              </w:rPr>
              <w:t xml:space="preserve">respond to </w:t>
            </w:r>
            <w:r w:rsidR="008E5EDF">
              <w:rPr>
                <w:rFonts w:cs="Calibri"/>
                <w:szCs w:val="22"/>
              </w:rPr>
              <w:t xml:space="preserve">safety issues </w:t>
            </w:r>
            <w:r w:rsidR="006E7C9E" w:rsidRPr="00DD14EC">
              <w:rPr>
                <w:rFonts w:cs="Calibri"/>
                <w:szCs w:val="22"/>
              </w:rPr>
              <w:t xml:space="preserve">in order to provide the safest possible recovery context </w:t>
            </w:r>
            <w:r w:rsidR="006E7C9E" w:rsidRPr="00DD62FC">
              <w:rPr>
                <w:rFonts w:cs="Calibri"/>
                <w:szCs w:val="22"/>
              </w:rPr>
              <w:t>for</w:t>
            </w:r>
            <w:r w:rsidR="003B5443" w:rsidRPr="00DD62FC">
              <w:rPr>
                <w:rFonts w:cs="Calibri"/>
                <w:szCs w:val="22"/>
              </w:rPr>
              <w:t xml:space="preserve"> tāngata whai ora/tāngata whaikaha</w:t>
            </w:r>
            <w:r w:rsidR="006E7C9E" w:rsidRPr="00DD14EC">
              <w:rPr>
                <w:rFonts w:cs="Calibri"/>
                <w:szCs w:val="22"/>
              </w:rPr>
              <w:t xml:space="preserve"> their family/</w:t>
            </w:r>
            <w:r w:rsidR="009E0656" w:rsidRPr="00DD14EC">
              <w:rPr>
                <w:rFonts w:cs="Calibri"/>
                <w:szCs w:val="22"/>
              </w:rPr>
              <w:t>whānau</w:t>
            </w:r>
            <w:r w:rsidR="006E7C9E" w:rsidRPr="00DD14EC">
              <w:rPr>
                <w:rFonts w:cs="Calibri"/>
                <w:szCs w:val="22"/>
              </w:rPr>
              <w:t>/carers and the wider community.</w:t>
            </w:r>
          </w:p>
        </w:tc>
      </w:tr>
      <w:tr w:rsidR="006E7C9E" w:rsidRPr="00D53D4F" w:rsidTr="00F23D64">
        <w:tc>
          <w:tcPr>
            <w:tcW w:w="1560" w:type="dxa"/>
            <w:shd w:val="clear" w:color="auto" w:fill="F2F2F2" w:themeFill="background1" w:themeFillShade="F2"/>
          </w:tcPr>
          <w:p w:rsidR="006E7C9E" w:rsidRPr="00DD14EC" w:rsidRDefault="006E7C9E" w:rsidP="00800699">
            <w:pPr>
              <w:rPr>
                <w:rFonts w:cs="Calibri"/>
                <w:b/>
                <w:szCs w:val="22"/>
              </w:rPr>
            </w:pPr>
            <w:r w:rsidRPr="00DD14EC">
              <w:rPr>
                <w:rFonts w:cs="Calibri"/>
                <w:b/>
                <w:szCs w:val="22"/>
              </w:rPr>
              <w:t>Scope</w:t>
            </w:r>
          </w:p>
        </w:tc>
        <w:tc>
          <w:tcPr>
            <w:tcW w:w="8221" w:type="dxa"/>
            <w:shd w:val="clear" w:color="auto" w:fill="auto"/>
          </w:tcPr>
          <w:p w:rsidR="008E15EA" w:rsidRDefault="008E15EA" w:rsidP="00A12BCE">
            <w:pPr>
              <w:pStyle w:val="ListParagraph"/>
              <w:numPr>
                <w:ilvl w:val="0"/>
                <w:numId w:val="2"/>
              </w:numPr>
              <w:rPr>
                <w:rFonts w:cs="Calibri"/>
                <w:szCs w:val="22"/>
              </w:rPr>
            </w:pPr>
            <w:r>
              <w:rPr>
                <w:rFonts w:cs="Calibri"/>
                <w:szCs w:val="22"/>
              </w:rPr>
              <w:t>T</w:t>
            </w:r>
            <w:r w:rsidRPr="004A32C7">
              <w:rPr>
                <w:rFonts w:cs="Calibri"/>
                <w:szCs w:val="22"/>
              </w:rPr>
              <w:t>āngata whai ora/tāngata whaikaha</w:t>
            </w:r>
            <w:r>
              <w:rPr>
                <w:rFonts w:cs="Calibri"/>
                <w:szCs w:val="22"/>
              </w:rPr>
              <w:t xml:space="preserve"> and their whānau.</w:t>
            </w:r>
          </w:p>
          <w:p w:rsidR="00D53D4F" w:rsidRPr="00DD62FC" w:rsidRDefault="00370EC6" w:rsidP="00A12BCE">
            <w:pPr>
              <w:pStyle w:val="ListParagraph"/>
              <w:numPr>
                <w:ilvl w:val="0"/>
                <w:numId w:val="2"/>
              </w:numPr>
              <w:rPr>
                <w:rFonts w:cs="Calibri"/>
                <w:szCs w:val="22"/>
              </w:rPr>
            </w:pPr>
            <w:r w:rsidRPr="00DD62FC">
              <w:rPr>
                <w:rFonts w:cs="Calibri"/>
                <w:szCs w:val="22"/>
              </w:rPr>
              <w:t xml:space="preserve">Health care workers and other relevant service providers. </w:t>
            </w:r>
          </w:p>
        </w:tc>
      </w:tr>
      <w:tr w:rsidR="008E671E" w:rsidRPr="00D53D4F" w:rsidTr="00F23D64">
        <w:tc>
          <w:tcPr>
            <w:tcW w:w="1560" w:type="dxa"/>
            <w:shd w:val="clear" w:color="auto" w:fill="F2F2F2" w:themeFill="background1" w:themeFillShade="F2"/>
          </w:tcPr>
          <w:p w:rsidR="008E671E" w:rsidRDefault="008E671E" w:rsidP="00800699">
            <w:pPr>
              <w:rPr>
                <w:rFonts w:cs="Calibri"/>
                <w:b/>
                <w:szCs w:val="22"/>
              </w:rPr>
            </w:pPr>
            <w:r>
              <w:rPr>
                <w:rFonts w:cs="Calibri"/>
                <w:b/>
                <w:szCs w:val="22"/>
              </w:rPr>
              <w:t>Policy</w:t>
            </w:r>
          </w:p>
        </w:tc>
        <w:tc>
          <w:tcPr>
            <w:tcW w:w="8221" w:type="dxa"/>
            <w:shd w:val="clear" w:color="auto" w:fill="auto"/>
          </w:tcPr>
          <w:p w:rsidR="00882D22" w:rsidRDefault="008E15EA" w:rsidP="00A12BCE">
            <w:pPr>
              <w:pStyle w:val="ListParagraph"/>
              <w:numPr>
                <w:ilvl w:val="0"/>
                <w:numId w:val="2"/>
              </w:numPr>
              <w:rPr>
                <w:rFonts w:cs="Calibri"/>
                <w:szCs w:val="22"/>
              </w:rPr>
            </w:pPr>
            <w:r>
              <w:rPr>
                <w:rFonts w:cs="Calibri"/>
                <w:szCs w:val="22"/>
              </w:rPr>
              <w:t>T</w:t>
            </w:r>
            <w:r w:rsidRPr="004A32C7">
              <w:rPr>
                <w:rFonts w:cs="Calibri"/>
                <w:szCs w:val="22"/>
              </w:rPr>
              <w:t>āngata whai ora/tāngata whaikaha</w:t>
            </w:r>
            <w:r>
              <w:rPr>
                <w:rFonts w:cs="Calibri"/>
                <w:szCs w:val="22"/>
              </w:rPr>
              <w:t xml:space="preserve"> and</w:t>
            </w:r>
            <w:r w:rsidR="00D20FC4">
              <w:rPr>
                <w:rFonts w:cs="Calibri"/>
                <w:szCs w:val="22"/>
              </w:rPr>
              <w:t>,</w:t>
            </w:r>
            <w:r>
              <w:rPr>
                <w:rFonts w:cs="Calibri"/>
                <w:szCs w:val="22"/>
              </w:rPr>
              <w:t xml:space="preserve"> </w:t>
            </w:r>
            <w:r w:rsidR="00D61487">
              <w:rPr>
                <w:rFonts w:cs="Calibri"/>
                <w:szCs w:val="22"/>
              </w:rPr>
              <w:t xml:space="preserve">if relevant </w:t>
            </w:r>
            <w:r>
              <w:rPr>
                <w:rFonts w:cs="Calibri"/>
                <w:szCs w:val="22"/>
              </w:rPr>
              <w:t>their whānau</w:t>
            </w:r>
            <w:r w:rsidR="00D61487">
              <w:rPr>
                <w:rFonts w:cs="Calibri"/>
                <w:szCs w:val="22"/>
              </w:rPr>
              <w:t xml:space="preserve"> have a safety plan</w:t>
            </w:r>
            <w:r w:rsidR="00882D22">
              <w:rPr>
                <w:rFonts w:cs="Calibri"/>
                <w:szCs w:val="22"/>
              </w:rPr>
              <w:t>.</w:t>
            </w:r>
          </w:p>
          <w:p w:rsidR="001569FC" w:rsidRPr="001569FC" w:rsidRDefault="00882D22" w:rsidP="00A12BCE">
            <w:pPr>
              <w:pStyle w:val="ListParagraph"/>
              <w:numPr>
                <w:ilvl w:val="0"/>
                <w:numId w:val="2"/>
              </w:numPr>
              <w:rPr>
                <w:rFonts w:cs="Calibri"/>
                <w:szCs w:val="22"/>
              </w:rPr>
            </w:pPr>
            <w:r>
              <w:rPr>
                <w:rFonts w:cs="Calibri"/>
                <w:szCs w:val="22"/>
              </w:rPr>
              <w:t xml:space="preserve">They </w:t>
            </w:r>
            <w:r w:rsidRPr="00882D22">
              <w:rPr>
                <w:rFonts w:cs="Calibri"/>
                <w:szCs w:val="22"/>
              </w:rPr>
              <w:t xml:space="preserve">are active participants in </w:t>
            </w:r>
            <w:r w:rsidR="001F672E">
              <w:rPr>
                <w:rFonts w:cs="Calibri"/>
                <w:szCs w:val="22"/>
              </w:rPr>
              <w:t xml:space="preserve">determining and </w:t>
            </w:r>
            <w:r w:rsidRPr="00882D22">
              <w:rPr>
                <w:rFonts w:cs="Calibri"/>
                <w:szCs w:val="22"/>
              </w:rPr>
              <w:t>identifying safety issues and developing the</w:t>
            </w:r>
            <w:r w:rsidR="002B680F">
              <w:rPr>
                <w:rFonts w:cs="Calibri"/>
                <w:szCs w:val="22"/>
              </w:rPr>
              <w:t>ir safety</w:t>
            </w:r>
            <w:r w:rsidRPr="00882D22">
              <w:rPr>
                <w:rFonts w:cs="Calibri"/>
                <w:szCs w:val="22"/>
              </w:rPr>
              <w:t xml:space="preserve"> plan</w:t>
            </w:r>
            <w:r w:rsidR="008E15EA" w:rsidRPr="00882D22">
              <w:rPr>
                <w:rFonts w:cs="Calibri"/>
                <w:szCs w:val="22"/>
              </w:rPr>
              <w:t>.</w:t>
            </w:r>
          </w:p>
        </w:tc>
      </w:tr>
      <w:tr w:rsidR="006E7C9E" w:rsidRPr="00D53D4F" w:rsidTr="00F23D64">
        <w:tc>
          <w:tcPr>
            <w:tcW w:w="9781" w:type="dxa"/>
            <w:gridSpan w:val="2"/>
            <w:shd w:val="clear" w:color="auto" w:fill="F2F2F2" w:themeFill="background1" w:themeFillShade="F2"/>
          </w:tcPr>
          <w:p w:rsidR="006E7C9E" w:rsidRPr="00DD14EC" w:rsidRDefault="006E7C9E" w:rsidP="00800699">
            <w:pPr>
              <w:rPr>
                <w:rFonts w:cs="Calibri"/>
                <w:b/>
                <w:szCs w:val="22"/>
              </w:rPr>
            </w:pPr>
            <w:r w:rsidRPr="00DD14EC">
              <w:rPr>
                <w:rFonts w:cs="Calibri"/>
                <w:b/>
                <w:szCs w:val="22"/>
              </w:rPr>
              <w:t>References</w:t>
            </w:r>
          </w:p>
        </w:tc>
      </w:tr>
      <w:tr w:rsidR="002A2E20" w:rsidRPr="00D53D4F" w:rsidTr="00F23D64">
        <w:trPr>
          <w:trHeight w:val="1914"/>
        </w:trPr>
        <w:tc>
          <w:tcPr>
            <w:tcW w:w="1560" w:type="dxa"/>
            <w:shd w:val="clear" w:color="auto" w:fill="F2F2F2" w:themeFill="background1" w:themeFillShade="F2"/>
          </w:tcPr>
          <w:p w:rsidR="002A2E20" w:rsidRPr="00DD14EC" w:rsidRDefault="002A2E20" w:rsidP="00800699">
            <w:pPr>
              <w:rPr>
                <w:rFonts w:cs="Calibri"/>
                <w:b/>
                <w:szCs w:val="22"/>
              </w:rPr>
            </w:pPr>
            <w:r w:rsidRPr="00DD14EC">
              <w:rPr>
                <w:rFonts w:cs="Calibri"/>
                <w:b/>
                <w:szCs w:val="22"/>
              </w:rPr>
              <w:t>Guidelines</w:t>
            </w:r>
          </w:p>
          <w:p w:rsidR="002A2E20" w:rsidRPr="00DD14EC" w:rsidRDefault="002A2E20" w:rsidP="00800699">
            <w:pPr>
              <w:rPr>
                <w:rFonts w:cs="Calibri"/>
                <w:b/>
                <w:szCs w:val="22"/>
              </w:rPr>
            </w:pPr>
            <w:r w:rsidRPr="00DD14EC">
              <w:rPr>
                <w:rFonts w:cs="Calibri"/>
                <w:b/>
                <w:szCs w:val="22"/>
              </w:rPr>
              <w:t>&amp;</w:t>
            </w:r>
          </w:p>
          <w:p w:rsidR="002A2E20" w:rsidRPr="00DD14EC" w:rsidRDefault="002A2E20" w:rsidP="00800699">
            <w:pPr>
              <w:rPr>
                <w:rFonts w:cs="Calibri"/>
                <w:b/>
                <w:szCs w:val="22"/>
              </w:rPr>
            </w:pPr>
            <w:r w:rsidRPr="00DD14EC">
              <w:rPr>
                <w:rFonts w:cs="Calibri"/>
                <w:b/>
                <w:szCs w:val="22"/>
              </w:rPr>
              <w:t>Resources</w:t>
            </w:r>
          </w:p>
        </w:tc>
        <w:tc>
          <w:tcPr>
            <w:tcW w:w="8221" w:type="dxa"/>
            <w:shd w:val="clear" w:color="auto" w:fill="auto"/>
          </w:tcPr>
          <w:p w:rsidR="008639E0" w:rsidRDefault="00A12BCE" w:rsidP="00A12BCE">
            <w:pPr>
              <w:pStyle w:val="ListParagraph"/>
              <w:numPr>
                <w:ilvl w:val="0"/>
                <w:numId w:val="1"/>
              </w:numPr>
              <w:rPr>
                <w:rFonts w:cs="Calibri"/>
                <w:szCs w:val="22"/>
              </w:rPr>
            </w:pPr>
            <w:hyperlink r:id="rId7" w:history="1">
              <w:r w:rsidR="00746D41" w:rsidRPr="008639E0">
                <w:rPr>
                  <w:rStyle w:val="Hyperlink"/>
                  <w:rFonts w:cs="Calibri"/>
                  <w:szCs w:val="22"/>
                </w:rPr>
                <w:t>He Ara Oranga : Report of the Government Inquiry into Mental Health and Addiction</w:t>
              </w:r>
            </w:hyperlink>
            <w:r w:rsidR="00746D41" w:rsidRPr="008639E0">
              <w:rPr>
                <w:rFonts w:cs="Calibri"/>
                <w:szCs w:val="22"/>
              </w:rPr>
              <w:t>.</w:t>
            </w:r>
            <w:r w:rsidR="008639E0" w:rsidRPr="008639E0">
              <w:rPr>
                <w:rFonts w:cs="Calibri"/>
                <w:szCs w:val="22"/>
              </w:rPr>
              <w:t xml:space="preserve"> (2018).</w:t>
            </w:r>
          </w:p>
          <w:p w:rsidR="002D5A17" w:rsidRPr="008639E0" w:rsidRDefault="00A12BCE" w:rsidP="00A12BCE">
            <w:pPr>
              <w:pStyle w:val="ListParagraph"/>
              <w:numPr>
                <w:ilvl w:val="0"/>
                <w:numId w:val="1"/>
              </w:numPr>
              <w:rPr>
                <w:rStyle w:val="Hyperlink"/>
                <w:rFonts w:cs="Calibri"/>
                <w:color w:val="auto"/>
                <w:szCs w:val="22"/>
                <w:u w:val="none"/>
              </w:rPr>
            </w:pPr>
            <w:hyperlink r:id="rId8" w:history="1">
              <w:r w:rsidR="002D5A17" w:rsidRPr="002A17E9">
                <w:rPr>
                  <w:rStyle w:val="Hyperlink"/>
                  <w:rFonts w:cs="Calibri"/>
                  <w:szCs w:val="22"/>
                </w:rPr>
                <w:t>He Arotake ngā Tūraru – Reviewing Risk. He kohinga kōrero – A discussion paper.</w:t>
              </w:r>
              <w:r w:rsidR="00A71B8A" w:rsidRPr="002A17E9">
                <w:rPr>
                  <w:rStyle w:val="Hyperlink"/>
                  <w:rFonts w:cs="Calibri"/>
                  <w:szCs w:val="22"/>
                </w:rPr>
                <w:t xml:space="preserve"> </w:t>
              </w:r>
              <w:r w:rsidR="00746D41" w:rsidRPr="002A17E9">
                <w:rPr>
                  <w:rStyle w:val="Hyperlink"/>
                  <w:rFonts w:cs="Calibri"/>
                  <w:szCs w:val="22"/>
                </w:rPr>
                <w:t>C</w:t>
              </w:r>
              <w:r w:rsidR="00A71B8A" w:rsidRPr="002A17E9">
                <w:rPr>
                  <w:rStyle w:val="Hyperlink"/>
                  <w:rFonts w:cs="Calibri"/>
                  <w:szCs w:val="22"/>
                </w:rPr>
                <w:t>hangem</w:t>
              </w:r>
              <w:r w:rsidR="00746D41" w:rsidRPr="002A17E9">
                <w:rPr>
                  <w:rStyle w:val="Hyperlink"/>
                  <w:rFonts w:cs="Calibri"/>
                  <w:szCs w:val="22"/>
                </w:rPr>
                <w:t xml:space="preserve"> Ltd.</w:t>
              </w:r>
            </w:hyperlink>
            <w:r w:rsidR="009D1B1E">
              <w:rPr>
                <w:rStyle w:val="Hyperlink"/>
                <w:rFonts w:cs="Calibri"/>
                <w:color w:val="auto"/>
                <w:szCs w:val="22"/>
                <w:u w:val="none"/>
              </w:rPr>
              <w:t xml:space="preserve"> </w:t>
            </w:r>
            <w:r w:rsidR="00080EFD">
              <w:rPr>
                <w:rStyle w:val="Hyperlink"/>
                <w:rFonts w:cs="Calibri"/>
                <w:color w:val="auto"/>
                <w:szCs w:val="22"/>
                <w:u w:val="none"/>
              </w:rPr>
              <w:t xml:space="preserve">MOH. </w:t>
            </w:r>
            <w:r w:rsidR="009D1B1E">
              <w:rPr>
                <w:rStyle w:val="Hyperlink"/>
                <w:rFonts w:cs="Calibri"/>
                <w:color w:val="auto"/>
                <w:szCs w:val="22"/>
                <w:u w:val="none"/>
              </w:rPr>
              <w:t>(2022).</w:t>
            </w:r>
          </w:p>
          <w:p w:rsidR="00977CFC" w:rsidRPr="009F6069" w:rsidRDefault="00A12BCE" w:rsidP="00A12BCE">
            <w:pPr>
              <w:pStyle w:val="Heading2"/>
              <w:numPr>
                <w:ilvl w:val="0"/>
                <w:numId w:val="1"/>
              </w:numPr>
              <w:rPr>
                <w:rFonts w:cs="Calibri"/>
                <w:b w:val="0"/>
                <w:sz w:val="22"/>
                <w:szCs w:val="22"/>
              </w:rPr>
            </w:pPr>
            <w:hyperlink r:id="rId9" w:history="1">
              <w:r w:rsidR="00977CFC" w:rsidRPr="002A17E9">
                <w:rPr>
                  <w:rStyle w:val="Hyperlink"/>
                  <w:rFonts w:asciiTheme="minorHAnsi" w:hAnsiTheme="minorHAnsi" w:cstheme="minorHAnsi"/>
                  <w:b w:val="0"/>
                  <w:sz w:val="22"/>
                  <w:szCs w:val="22"/>
                </w:rPr>
                <w:t xml:space="preserve">Rethinking risk to others in mental health services (Royal College of </w:t>
              </w:r>
              <w:r w:rsidR="009F6069" w:rsidRPr="002A17E9">
                <w:rPr>
                  <w:rStyle w:val="Hyperlink"/>
                  <w:rFonts w:asciiTheme="minorHAnsi" w:hAnsiTheme="minorHAnsi" w:cstheme="minorHAnsi"/>
                  <w:b w:val="0"/>
                  <w:sz w:val="22"/>
                  <w:szCs w:val="22"/>
                </w:rPr>
                <w:t>P</w:t>
              </w:r>
              <w:r w:rsidR="00977CFC" w:rsidRPr="002A17E9">
                <w:rPr>
                  <w:rStyle w:val="Hyperlink"/>
                  <w:rFonts w:asciiTheme="minorHAnsi" w:hAnsiTheme="minorHAnsi" w:cstheme="minorHAnsi"/>
                  <w:b w:val="0"/>
                  <w:sz w:val="22"/>
                  <w:szCs w:val="22"/>
                </w:rPr>
                <w:t>sychiatrists)</w:t>
              </w:r>
              <w:r w:rsidR="009D1B1E">
                <w:rPr>
                  <w:rStyle w:val="Hyperlink"/>
                  <w:rFonts w:asciiTheme="minorHAnsi" w:hAnsiTheme="minorHAnsi" w:cstheme="minorHAnsi"/>
                  <w:b w:val="0"/>
                  <w:sz w:val="22"/>
                  <w:szCs w:val="22"/>
                </w:rPr>
                <w:t>.</w:t>
              </w:r>
              <w:r w:rsidR="00977CFC" w:rsidRPr="002A17E9">
                <w:rPr>
                  <w:rStyle w:val="Hyperlink"/>
                  <w:rFonts w:asciiTheme="minorHAnsi" w:hAnsiTheme="minorHAnsi" w:cstheme="minorHAnsi"/>
                  <w:b w:val="0"/>
                  <w:sz w:val="22"/>
                  <w:szCs w:val="22"/>
                </w:rPr>
                <w:t xml:space="preserve"> </w:t>
              </w:r>
              <w:r w:rsidR="009D1B1E">
                <w:rPr>
                  <w:rStyle w:val="Hyperlink"/>
                  <w:rFonts w:asciiTheme="minorHAnsi" w:hAnsiTheme="minorHAnsi" w:cstheme="minorHAnsi"/>
                  <w:b w:val="0"/>
                  <w:sz w:val="22"/>
                  <w:szCs w:val="22"/>
                </w:rPr>
                <w:t>(</w:t>
              </w:r>
              <w:r w:rsidR="00977CFC" w:rsidRPr="002A17E9">
                <w:rPr>
                  <w:rStyle w:val="Hyperlink"/>
                  <w:rFonts w:asciiTheme="minorHAnsi" w:hAnsiTheme="minorHAnsi" w:cstheme="minorHAnsi"/>
                  <w:b w:val="0"/>
                  <w:sz w:val="22"/>
                  <w:szCs w:val="22"/>
                </w:rPr>
                <w:t>20</w:t>
              </w:r>
              <w:r w:rsidR="002A17E9" w:rsidRPr="002A17E9">
                <w:rPr>
                  <w:rStyle w:val="Hyperlink"/>
                  <w:rFonts w:asciiTheme="minorHAnsi" w:hAnsiTheme="minorHAnsi" w:cstheme="minorHAnsi"/>
                  <w:b w:val="0"/>
                  <w:sz w:val="22"/>
                  <w:szCs w:val="22"/>
                </w:rPr>
                <w:t>15</w:t>
              </w:r>
              <w:r w:rsidR="009D1B1E">
                <w:rPr>
                  <w:rStyle w:val="Hyperlink"/>
                  <w:rFonts w:asciiTheme="minorHAnsi" w:hAnsiTheme="minorHAnsi" w:cstheme="minorHAnsi"/>
                  <w:b w:val="0"/>
                  <w:sz w:val="22"/>
                  <w:szCs w:val="22"/>
                </w:rPr>
                <w:t>)</w:t>
              </w:r>
              <w:r w:rsidR="00977CFC" w:rsidRPr="002A17E9">
                <w:rPr>
                  <w:rStyle w:val="Hyperlink"/>
                  <w:rFonts w:asciiTheme="minorHAnsi" w:hAnsiTheme="minorHAnsi" w:cstheme="minorHAnsi"/>
                  <w:b w:val="0"/>
                  <w:sz w:val="22"/>
                  <w:szCs w:val="22"/>
                </w:rPr>
                <w:t>.</w:t>
              </w:r>
            </w:hyperlink>
          </w:p>
          <w:p w:rsidR="002A2E20" w:rsidRPr="002A2E20" w:rsidRDefault="00A12BCE" w:rsidP="00A12BCE">
            <w:pPr>
              <w:numPr>
                <w:ilvl w:val="0"/>
                <w:numId w:val="1"/>
              </w:numPr>
              <w:rPr>
                <w:rFonts w:cs="Calibri"/>
                <w:szCs w:val="22"/>
              </w:rPr>
            </w:pPr>
            <w:hyperlink r:id="rId10" w:history="1">
              <w:r w:rsidR="002A2E20" w:rsidRPr="002A17E9">
                <w:rPr>
                  <w:rStyle w:val="Hyperlink"/>
                  <w:rFonts w:cs="Calibri"/>
                  <w:szCs w:val="22"/>
                </w:rPr>
                <w:t xml:space="preserve">Risk, Safety </w:t>
              </w:r>
              <w:r w:rsidR="00557F5E" w:rsidRPr="002A17E9">
                <w:rPr>
                  <w:rStyle w:val="Hyperlink"/>
                  <w:rFonts w:cs="Calibri"/>
                  <w:szCs w:val="22"/>
                </w:rPr>
                <w:t>and Recovery</w:t>
              </w:r>
              <w:r w:rsidR="002A2E20" w:rsidRPr="002A17E9">
                <w:rPr>
                  <w:rStyle w:val="Hyperlink"/>
                  <w:rFonts w:cs="Calibri"/>
                  <w:szCs w:val="22"/>
                </w:rPr>
                <w:t xml:space="preserve"> (Jed Boardman and Glenn Roberts)</w:t>
              </w:r>
              <w:r w:rsidR="009D1B1E">
                <w:rPr>
                  <w:rStyle w:val="Hyperlink"/>
                  <w:rFonts w:cs="Calibri"/>
                  <w:szCs w:val="22"/>
                </w:rPr>
                <w:t>. (</w:t>
              </w:r>
              <w:r w:rsidR="002A2E20" w:rsidRPr="002A17E9">
                <w:rPr>
                  <w:rStyle w:val="Hyperlink"/>
                  <w:rFonts w:cs="Calibri"/>
                  <w:szCs w:val="22"/>
                </w:rPr>
                <w:t>2014</w:t>
              </w:r>
              <w:r w:rsidR="009D1B1E">
                <w:rPr>
                  <w:rStyle w:val="Hyperlink"/>
                  <w:rFonts w:cs="Calibri"/>
                  <w:szCs w:val="22"/>
                </w:rPr>
                <w:t>)</w:t>
              </w:r>
              <w:r w:rsidR="002A2E20" w:rsidRPr="002A17E9">
                <w:rPr>
                  <w:rStyle w:val="Hyperlink"/>
                  <w:rFonts w:cs="Calibri"/>
                  <w:szCs w:val="22"/>
                </w:rPr>
                <w:t>.</w:t>
              </w:r>
            </w:hyperlink>
          </w:p>
          <w:p w:rsidR="002A2E20" w:rsidRPr="00DB0B1F" w:rsidRDefault="00A12BCE" w:rsidP="00A12BCE">
            <w:pPr>
              <w:numPr>
                <w:ilvl w:val="0"/>
                <w:numId w:val="1"/>
              </w:numPr>
              <w:rPr>
                <w:rStyle w:val="Hyperlink"/>
                <w:rFonts w:cs="Calibri"/>
                <w:color w:val="auto"/>
                <w:szCs w:val="22"/>
                <w:u w:val="none"/>
              </w:rPr>
            </w:pPr>
            <w:hyperlink r:id="rId11" w:history="1">
              <w:r w:rsidR="002A2E20" w:rsidRPr="00DD14EC">
                <w:rPr>
                  <w:rStyle w:val="Hyperlink"/>
                  <w:rFonts w:cs="Calibri"/>
                  <w:szCs w:val="22"/>
                </w:rPr>
                <w:t>Suicide prevention</w:t>
              </w:r>
            </w:hyperlink>
            <w:r w:rsidR="002A2E20" w:rsidRPr="00DD14EC">
              <w:rPr>
                <w:rStyle w:val="Hyperlink"/>
                <w:rFonts w:cs="Calibri"/>
                <w:szCs w:val="22"/>
              </w:rPr>
              <w:t>, MOH</w:t>
            </w:r>
            <w:r w:rsidR="00DB0B1F">
              <w:rPr>
                <w:rStyle w:val="Hyperlink"/>
                <w:rFonts w:cs="Calibri"/>
                <w:szCs w:val="22"/>
              </w:rPr>
              <w:t>.</w:t>
            </w:r>
          </w:p>
          <w:p w:rsidR="00DB0B1F" w:rsidRPr="00977CFC" w:rsidRDefault="00A12BCE" w:rsidP="00A12BCE">
            <w:pPr>
              <w:numPr>
                <w:ilvl w:val="0"/>
                <w:numId w:val="1"/>
              </w:numPr>
              <w:rPr>
                <w:rStyle w:val="Hyperlink"/>
                <w:rFonts w:cs="Calibri"/>
                <w:color w:val="auto"/>
                <w:szCs w:val="22"/>
                <w:u w:val="none"/>
              </w:rPr>
            </w:pPr>
            <w:hyperlink r:id="rId12" w:history="1">
              <w:r w:rsidR="00DB0B1F" w:rsidRPr="00DB0B1F">
                <w:rPr>
                  <w:rStyle w:val="Hyperlink"/>
                  <w:rFonts w:cs="Calibri"/>
                  <w:szCs w:val="22"/>
                </w:rPr>
                <w:t>Personal Safety Plan, Mental Health Foundation.</w:t>
              </w:r>
            </w:hyperlink>
          </w:p>
          <w:p w:rsidR="002A2E20" w:rsidRPr="006C51C2" w:rsidRDefault="00A12BCE" w:rsidP="00A12BCE">
            <w:pPr>
              <w:numPr>
                <w:ilvl w:val="0"/>
                <w:numId w:val="1"/>
              </w:numPr>
              <w:ind w:left="357" w:hanging="357"/>
              <w:rPr>
                <w:rStyle w:val="Hyperlink"/>
                <w:rFonts w:cs="Calibri"/>
                <w:bCs/>
                <w:color w:val="auto"/>
                <w:szCs w:val="22"/>
                <w:u w:val="none"/>
                <w:lang w:val="en-NZ" w:eastAsia="en-NZ"/>
              </w:rPr>
            </w:pPr>
            <w:hyperlink r:id="rId13" w:history="1">
              <w:r w:rsidR="00977CFC" w:rsidRPr="00977CFC">
                <w:rPr>
                  <w:rStyle w:val="Hyperlink"/>
                  <w:rFonts w:cs="Calibri"/>
                  <w:szCs w:val="22"/>
                </w:rPr>
                <w:t>Suicide prevention, Health</w:t>
              </w:r>
              <w:r w:rsidR="00DB0B1F">
                <w:rPr>
                  <w:rStyle w:val="Hyperlink"/>
                  <w:rFonts w:cs="Calibri"/>
                  <w:szCs w:val="22"/>
                </w:rPr>
                <w:t>ify</w:t>
              </w:r>
              <w:r w:rsidR="00977CFC" w:rsidRPr="00977CFC">
                <w:rPr>
                  <w:rStyle w:val="Hyperlink"/>
                  <w:rFonts w:cs="Calibri"/>
                  <w:szCs w:val="22"/>
                </w:rPr>
                <w:t>.</w:t>
              </w:r>
            </w:hyperlink>
            <w:r w:rsidR="00FC0A8B">
              <w:rPr>
                <w:rStyle w:val="Hyperlink"/>
                <w:rFonts w:cs="Calibri"/>
                <w:szCs w:val="22"/>
              </w:rPr>
              <w:t xml:space="preserve"> </w:t>
            </w:r>
          </w:p>
          <w:p w:rsidR="006C51C2" w:rsidRPr="00286299" w:rsidRDefault="00A12BCE" w:rsidP="00A12BCE">
            <w:pPr>
              <w:numPr>
                <w:ilvl w:val="0"/>
                <w:numId w:val="1"/>
              </w:numPr>
              <w:rPr>
                <w:rStyle w:val="Hyperlink"/>
                <w:rFonts w:cs="Calibri"/>
                <w:bCs/>
                <w:color w:val="auto"/>
                <w:szCs w:val="22"/>
                <w:u w:val="none"/>
                <w:lang w:val="en-NZ" w:eastAsia="en-NZ"/>
              </w:rPr>
            </w:pPr>
            <w:hyperlink r:id="rId14" w:history="1">
              <w:r w:rsidR="006C51C2" w:rsidRPr="00C21FBB">
                <w:rPr>
                  <w:rStyle w:val="Hyperlink"/>
                  <w:rFonts w:cs="Calibri"/>
                  <w:bCs/>
                  <w:szCs w:val="22"/>
                  <w:lang w:val="en-NZ" w:eastAsia="en-NZ"/>
                </w:rPr>
                <w:t>https://www.kingsfund.org.uk/insight-and-analysis/blogs/we-will-back-you-positive-approach-to-risk</w:t>
              </w:r>
            </w:hyperlink>
          </w:p>
          <w:p w:rsidR="00286299" w:rsidRPr="00557F5E" w:rsidRDefault="00286299" w:rsidP="00A12BCE">
            <w:pPr>
              <w:numPr>
                <w:ilvl w:val="0"/>
                <w:numId w:val="1"/>
              </w:numPr>
              <w:rPr>
                <w:rFonts w:cs="Calibri"/>
                <w:bCs/>
                <w:szCs w:val="22"/>
                <w:lang w:val="en-NZ" w:eastAsia="en-NZ"/>
              </w:rPr>
            </w:pPr>
            <w:r>
              <w:rPr>
                <w:rStyle w:val="Hyperlink"/>
                <w:rFonts w:cs="Calibri"/>
                <w:bCs/>
                <w:szCs w:val="22"/>
                <w:lang w:val="en-NZ" w:eastAsia="en-NZ"/>
              </w:rPr>
              <w:t>Therapeutic risk-taking.  Felton et al. BJPsych Advances(2017), vol.23,81-88 doi:10.1192/apt.bp.115.015701</w:t>
            </w:r>
            <w:r w:rsidR="00370EC6">
              <w:rPr>
                <w:rStyle w:val="Hyperlink"/>
                <w:rFonts w:cs="Calibri"/>
                <w:bCs/>
                <w:szCs w:val="22"/>
                <w:lang w:val="en-NZ" w:eastAsia="en-NZ"/>
              </w:rPr>
              <w:t>.</w:t>
            </w:r>
          </w:p>
        </w:tc>
      </w:tr>
      <w:tr w:rsidR="00EE171E" w:rsidRPr="00D53D4F" w:rsidTr="00F23D64">
        <w:trPr>
          <w:trHeight w:val="394"/>
        </w:trPr>
        <w:tc>
          <w:tcPr>
            <w:tcW w:w="9781" w:type="dxa"/>
            <w:gridSpan w:val="2"/>
            <w:shd w:val="clear" w:color="auto" w:fill="F2F2F2" w:themeFill="background1" w:themeFillShade="F2"/>
          </w:tcPr>
          <w:p w:rsidR="00EE171E" w:rsidRPr="00EE171E" w:rsidRDefault="00EE171E" w:rsidP="00EE171E">
            <w:pPr>
              <w:rPr>
                <w:rStyle w:val="Hyperlink"/>
                <w:rFonts w:cs="Calibri"/>
                <w:b/>
                <w:szCs w:val="22"/>
                <w:u w:val="none"/>
              </w:rPr>
            </w:pPr>
            <w:r w:rsidRPr="00EE171E">
              <w:rPr>
                <w:rStyle w:val="Hyperlink"/>
                <w:rFonts w:cs="Calibri"/>
                <w:b/>
                <w:color w:val="auto"/>
                <w:szCs w:val="22"/>
                <w:u w:val="none"/>
              </w:rPr>
              <w:t>Definitions</w:t>
            </w:r>
          </w:p>
        </w:tc>
      </w:tr>
      <w:tr w:rsidR="000E556B" w:rsidRPr="00D53D4F" w:rsidTr="00F23D64">
        <w:trPr>
          <w:trHeight w:val="1914"/>
        </w:trPr>
        <w:tc>
          <w:tcPr>
            <w:tcW w:w="1560" w:type="dxa"/>
            <w:shd w:val="clear" w:color="auto" w:fill="F2F2F2" w:themeFill="background1" w:themeFillShade="F2"/>
          </w:tcPr>
          <w:p w:rsidR="000E556B" w:rsidRDefault="000E556B" w:rsidP="00B86CDA">
            <w:pPr>
              <w:rPr>
                <w:rFonts w:cs="Calibri"/>
                <w:b/>
                <w:szCs w:val="22"/>
              </w:rPr>
            </w:pPr>
            <w:r>
              <w:rPr>
                <w:rFonts w:cs="Calibri"/>
                <w:b/>
                <w:szCs w:val="22"/>
              </w:rPr>
              <w:t xml:space="preserve">Hui </w:t>
            </w:r>
            <w:r w:rsidR="00B86CDA">
              <w:rPr>
                <w:rFonts w:cs="Calibri"/>
                <w:b/>
                <w:szCs w:val="22"/>
              </w:rPr>
              <w:t>process</w:t>
            </w:r>
          </w:p>
        </w:tc>
        <w:tc>
          <w:tcPr>
            <w:tcW w:w="8221" w:type="dxa"/>
            <w:shd w:val="clear" w:color="auto" w:fill="auto"/>
          </w:tcPr>
          <w:p w:rsidR="00963FD2" w:rsidRDefault="00C87A8A" w:rsidP="00963FD2">
            <w:pPr>
              <w:rPr>
                <w:szCs w:val="22"/>
                <w:lang w:val="en-NZ"/>
              </w:rPr>
            </w:pPr>
            <w:r>
              <w:rPr>
                <w:szCs w:val="22"/>
                <w:lang w:val="en-NZ"/>
              </w:rPr>
              <w:t>When having s</w:t>
            </w:r>
            <w:r w:rsidR="00963FD2">
              <w:rPr>
                <w:szCs w:val="22"/>
                <w:lang w:val="en-NZ"/>
              </w:rPr>
              <w:t xml:space="preserve">afety conversations </w:t>
            </w:r>
            <w:r w:rsidR="00A67C12">
              <w:rPr>
                <w:szCs w:val="22"/>
                <w:lang w:val="en-NZ"/>
              </w:rPr>
              <w:t xml:space="preserve">including </w:t>
            </w:r>
            <w:r w:rsidR="00963FD2">
              <w:rPr>
                <w:szCs w:val="22"/>
                <w:lang w:val="en-NZ"/>
              </w:rPr>
              <w:t>planning we apply the following process:</w:t>
            </w:r>
            <w:r w:rsidR="00B86CDA">
              <w:rPr>
                <w:szCs w:val="22"/>
                <w:lang w:val="en-NZ"/>
              </w:rPr>
              <w:t xml:space="preserve"> </w:t>
            </w:r>
          </w:p>
          <w:p w:rsidR="00B86CDA" w:rsidRPr="00963FD2" w:rsidRDefault="00B86CDA" w:rsidP="00A12BCE">
            <w:pPr>
              <w:pStyle w:val="ListParagraph"/>
              <w:numPr>
                <w:ilvl w:val="0"/>
                <w:numId w:val="6"/>
              </w:numPr>
              <w:rPr>
                <w:szCs w:val="22"/>
                <w:lang w:val="en-NZ"/>
              </w:rPr>
            </w:pPr>
            <w:r w:rsidRPr="00963FD2">
              <w:rPr>
                <w:szCs w:val="22"/>
                <w:lang w:val="en-NZ"/>
              </w:rPr>
              <w:t>If appropriate, start with karakia.</w:t>
            </w:r>
          </w:p>
          <w:p w:rsidR="00B86CDA" w:rsidRDefault="00B86CDA" w:rsidP="00A12BCE">
            <w:pPr>
              <w:pStyle w:val="ListParagraph"/>
              <w:numPr>
                <w:ilvl w:val="0"/>
                <w:numId w:val="5"/>
              </w:numPr>
              <w:rPr>
                <w:szCs w:val="22"/>
                <w:lang w:val="en-NZ"/>
              </w:rPr>
            </w:pPr>
            <w:r>
              <w:rPr>
                <w:szCs w:val="22"/>
                <w:lang w:val="en-NZ"/>
              </w:rPr>
              <w:t>Mihi – initial greeting.</w:t>
            </w:r>
          </w:p>
          <w:p w:rsidR="00B86CDA" w:rsidRDefault="00B86CDA" w:rsidP="00A12BCE">
            <w:pPr>
              <w:pStyle w:val="ListParagraph"/>
              <w:numPr>
                <w:ilvl w:val="0"/>
                <w:numId w:val="5"/>
              </w:numPr>
              <w:rPr>
                <w:szCs w:val="22"/>
                <w:lang w:val="en-NZ"/>
              </w:rPr>
            </w:pPr>
            <w:r>
              <w:rPr>
                <w:szCs w:val="22"/>
                <w:lang w:val="en-NZ"/>
              </w:rPr>
              <w:t>Whakawhanaungatanga – making a connection – building a relationship.</w:t>
            </w:r>
          </w:p>
          <w:p w:rsidR="00B86CDA" w:rsidRDefault="00B86CDA" w:rsidP="00A12BCE">
            <w:pPr>
              <w:pStyle w:val="ListParagraph"/>
              <w:numPr>
                <w:ilvl w:val="0"/>
                <w:numId w:val="5"/>
              </w:numPr>
              <w:rPr>
                <w:szCs w:val="22"/>
                <w:lang w:val="en-NZ"/>
              </w:rPr>
            </w:pPr>
            <w:r>
              <w:rPr>
                <w:szCs w:val="22"/>
                <w:lang w:val="en-NZ"/>
              </w:rPr>
              <w:t>Kaupapa – the purpose of the meeting:</w:t>
            </w:r>
          </w:p>
          <w:p w:rsidR="00963FD2" w:rsidRPr="00963FD2" w:rsidRDefault="00B86CDA" w:rsidP="00A12BCE">
            <w:pPr>
              <w:pStyle w:val="ListParagraph"/>
              <w:numPr>
                <w:ilvl w:val="1"/>
                <w:numId w:val="5"/>
              </w:numPr>
              <w:rPr>
                <w:szCs w:val="22"/>
                <w:lang w:val="en-NZ"/>
              </w:rPr>
            </w:pPr>
            <w:r>
              <w:rPr>
                <w:szCs w:val="22"/>
                <w:lang w:val="en-NZ"/>
              </w:rPr>
              <w:t>Discuss</w:t>
            </w:r>
            <w:r w:rsidR="00963FD2">
              <w:rPr>
                <w:szCs w:val="22"/>
                <w:lang w:val="en-NZ"/>
              </w:rPr>
              <w:t xml:space="preserve"> safety issues from </w:t>
            </w:r>
            <w:r w:rsidR="00963FD2" w:rsidRPr="004A32C7">
              <w:rPr>
                <w:rFonts w:cs="Calibri"/>
                <w:szCs w:val="22"/>
              </w:rPr>
              <w:t>tāngata whai ora/tāngata whaikaha</w:t>
            </w:r>
            <w:r w:rsidR="00963FD2">
              <w:rPr>
                <w:rFonts w:cs="Calibri"/>
                <w:szCs w:val="22"/>
              </w:rPr>
              <w:t xml:space="preserve"> perspective.</w:t>
            </w:r>
          </w:p>
          <w:p w:rsidR="00963FD2" w:rsidRPr="00963FD2" w:rsidRDefault="00963FD2" w:rsidP="00A12BCE">
            <w:pPr>
              <w:pStyle w:val="ListParagraph"/>
              <w:numPr>
                <w:ilvl w:val="1"/>
                <w:numId w:val="5"/>
              </w:numPr>
              <w:rPr>
                <w:szCs w:val="22"/>
                <w:lang w:val="en-NZ"/>
              </w:rPr>
            </w:pPr>
            <w:r>
              <w:rPr>
                <w:rFonts w:cs="Calibri"/>
                <w:szCs w:val="22"/>
              </w:rPr>
              <w:t>Discuss safety issues from whānau perspective.</w:t>
            </w:r>
          </w:p>
          <w:p w:rsidR="00B86CDA" w:rsidRPr="00E122AD" w:rsidRDefault="00963FD2" w:rsidP="00A12BCE">
            <w:pPr>
              <w:pStyle w:val="ListParagraph"/>
              <w:numPr>
                <w:ilvl w:val="1"/>
                <w:numId w:val="5"/>
              </w:numPr>
              <w:rPr>
                <w:szCs w:val="22"/>
                <w:lang w:val="en-NZ"/>
              </w:rPr>
            </w:pPr>
            <w:r w:rsidRPr="00963FD2">
              <w:rPr>
                <w:rFonts w:cs="Calibri"/>
                <w:szCs w:val="22"/>
              </w:rPr>
              <w:t>Other participants to bring their perspective of safety issues to the table.</w:t>
            </w:r>
          </w:p>
          <w:p w:rsidR="00E122AD" w:rsidRPr="00963FD2" w:rsidRDefault="00E122AD" w:rsidP="00A12BCE">
            <w:pPr>
              <w:pStyle w:val="ListParagraph"/>
              <w:numPr>
                <w:ilvl w:val="1"/>
                <w:numId w:val="5"/>
              </w:numPr>
              <w:rPr>
                <w:szCs w:val="22"/>
                <w:lang w:val="en-NZ"/>
              </w:rPr>
            </w:pPr>
            <w:r>
              <w:rPr>
                <w:rFonts w:cs="Calibri"/>
                <w:szCs w:val="22"/>
              </w:rPr>
              <w:t>Follow the principles and approaches noted in this document and discuss them with the people present at the hui.</w:t>
            </w:r>
          </w:p>
          <w:p w:rsidR="00B86CDA" w:rsidRDefault="00E122AD" w:rsidP="00A12BCE">
            <w:pPr>
              <w:pStyle w:val="ListParagraph"/>
              <w:numPr>
                <w:ilvl w:val="1"/>
                <w:numId w:val="5"/>
              </w:numPr>
              <w:rPr>
                <w:szCs w:val="22"/>
                <w:lang w:val="en-NZ"/>
              </w:rPr>
            </w:pPr>
            <w:r>
              <w:rPr>
                <w:szCs w:val="22"/>
                <w:lang w:val="en-NZ"/>
              </w:rPr>
              <w:t>Provide information as requested by participants.</w:t>
            </w:r>
          </w:p>
          <w:p w:rsidR="00B86CDA" w:rsidRDefault="00B86CDA" w:rsidP="00A12BCE">
            <w:pPr>
              <w:pStyle w:val="ListParagraph"/>
              <w:numPr>
                <w:ilvl w:val="1"/>
                <w:numId w:val="5"/>
              </w:numPr>
              <w:rPr>
                <w:szCs w:val="22"/>
                <w:lang w:val="en-NZ"/>
              </w:rPr>
            </w:pPr>
            <w:r>
              <w:rPr>
                <w:szCs w:val="22"/>
                <w:lang w:val="en-NZ"/>
              </w:rPr>
              <w:t xml:space="preserve">Elicit the expectations </w:t>
            </w:r>
            <w:r w:rsidR="00E122AD">
              <w:rPr>
                <w:szCs w:val="22"/>
                <w:lang w:val="en-NZ"/>
              </w:rPr>
              <w:t>of tāngata</w:t>
            </w:r>
            <w:r w:rsidR="00E122AD" w:rsidRPr="004A32C7">
              <w:rPr>
                <w:rFonts w:cs="Calibri"/>
                <w:szCs w:val="22"/>
              </w:rPr>
              <w:t xml:space="preserve"> whai ora/tāngata whaikaha</w:t>
            </w:r>
            <w:r w:rsidR="00E122AD">
              <w:rPr>
                <w:rFonts w:cs="Calibri"/>
                <w:szCs w:val="22"/>
              </w:rPr>
              <w:t xml:space="preserve"> </w:t>
            </w:r>
            <w:r>
              <w:rPr>
                <w:szCs w:val="22"/>
                <w:lang w:val="en-NZ"/>
              </w:rPr>
              <w:t>and their wh</w:t>
            </w:r>
            <w:r>
              <w:rPr>
                <w:rFonts w:cs="Calibri"/>
                <w:szCs w:val="22"/>
                <w:lang w:val="en-NZ"/>
              </w:rPr>
              <w:t>ā</w:t>
            </w:r>
            <w:r>
              <w:rPr>
                <w:szCs w:val="22"/>
                <w:lang w:val="en-NZ"/>
              </w:rPr>
              <w:t xml:space="preserve">nau. </w:t>
            </w:r>
          </w:p>
          <w:p w:rsidR="00B86CDA" w:rsidRDefault="00E122AD" w:rsidP="00A12BCE">
            <w:pPr>
              <w:pStyle w:val="ListParagraph"/>
              <w:numPr>
                <w:ilvl w:val="1"/>
                <w:numId w:val="5"/>
              </w:numPr>
              <w:rPr>
                <w:szCs w:val="22"/>
                <w:lang w:val="en-NZ"/>
              </w:rPr>
            </w:pPr>
            <w:r>
              <w:rPr>
                <w:szCs w:val="22"/>
                <w:lang w:val="en-NZ"/>
              </w:rPr>
              <w:t>Discuss the next steps such as a safety plan.</w:t>
            </w:r>
          </w:p>
          <w:p w:rsidR="00B86CDA" w:rsidRDefault="00B86CDA" w:rsidP="00A12BCE">
            <w:pPr>
              <w:pStyle w:val="ListParagraph"/>
              <w:numPr>
                <w:ilvl w:val="1"/>
                <w:numId w:val="5"/>
              </w:numPr>
              <w:rPr>
                <w:szCs w:val="22"/>
                <w:lang w:val="en-NZ"/>
              </w:rPr>
            </w:pPr>
            <w:r>
              <w:rPr>
                <w:szCs w:val="22"/>
                <w:lang w:val="en-NZ"/>
              </w:rPr>
              <w:t>Together make a plan.</w:t>
            </w:r>
            <w:r w:rsidR="00E122AD">
              <w:rPr>
                <w:szCs w:val="22"/>
                <w:lang w:val="en-NZ"/>
              </w:rPr>
              <w:t xml:space="preserve"> </w:t>
            </w:r>
          </w:p>
          <w:p w:rsidR="00E122AD" w:rsidRDefault="00E122AD" w:rsidP="00A12BCE">
            <w:pPr>
              <w:pStyle w:val="ListParagraph"/>
              <w:numPr>
                <w:ilvl w:val="1"/>
                <w:numId w:val="5"/>
              </w:numPr>
              <w:rPr>
                <w:szCs w:val="22"/>
                <w:lang w:val="en-NZ"/>
              </w:rPr>
            </w:pPr>
            <w:r>
              <w:rPr>
                <w:szCs w:val="22"/>
                <w:lang w:val="en-NZ"/>
              </w:rPr>
              <w:t>Identify responsibilities for implementing the plan.</w:t>
            </w:r>
          </w:p>
          <w:p w:rsidR="00E122AD" w:rsidRDefault="00E122AD" w:rsidP="00A12BCE">
            <w:pPr>
              <w:pStyle w:val="ListParagraph"/>
              <w:numPr>
                <w:ilvl w:val="1"/>
                <w:numId w:val="5"/>
              </w:numPr>
              <w:rPr>
                <w:szCs w:val="22"/>
                <w:lang w:val="en-NZ"/>
              </w:rPr>
            </w:pPr>
            <w:r>
              <w:rPr>
                <w:szCs w:val="22"/>
                <w:lang w:val="en-NZ"/>
              </w:rPr>
              <w:t>Identify resources required to implement the plan.</w:t>
            </w:r>
          </w:p>
          <w:p w:rsidR="00E122AD" w:rsidRDefault="00E122AD" w:rsidP="00A12BCE">
            <w:pPr>
              <w:pStyle w:val="ListParagraph"/>
              <w:numPr>
                <w:ilvl w:val="1"/>
                <w:numId w:val="5"/>
              </w:numPr>
              <w:rPr>
                <w:szCs w:val="22"/>
                <w:lang w:val="en-NZ"/>
              </w:rPr>
            </w:pPr>
            <w:r>
              <w:rPr>
                <w:szCs w:val="22"/>
                <w:lang w:val="en-NZ"/>
              </w:rPr>
              <w:t>Identify when to meet next.</w:t>
            </w:r>
          </w:p>
          <w:p w:rsidR="00B86CDA" w:rsidRDefault="00B86CDA" w:rsidP="00A12BCE">
            <w:pPr>
              <w:pStyle w:val="ListParagraph"/>
              <w:numPr>
                <w:ilvl w:val="0"/>
                <w:numId w:val="5"/>
              </w:numPr>
              <w:rPr>
                <w:szCs w:val="22"/>
                <w:lang w:val="en-NZ"/>
              </w:rPr>
            </w:pPr>
            <w:r>
              <w:rPr>
                <w:szCs w:val="22"/>
                <w:lang w:val="en-NZ"/>
              </w:rPr>
              <w:t>Poroporoaki- conclude the hui.</w:t>
            </w:r>
          </w:p>
          <w:p w:rsidR="002A17E9" w:rsidRPr="002A17E9" w:rsidRDefault="00B86CDA" w:rsidP="00A12BCE">
            <w:pPr>
              <w:pStyle w:val="ListParagraph"/>
              <w:numPr>
                <w:ilvl w:val="0"/>
                <w:numId w:val="5"/>
              </w:numPr>
              <w:rPr>
                <w:rStyle w:val="hgkelc"/>
                <w:bCs/>
                <w:lang w:val="en"/>
              </w:rPr>
            </w:pPr>
            <w:r w:rsidRPr="00B86CDA">
              <w:rPr>
                <w:szCs w:val="22"/>
                <w:lang w:val="en-NZ"/>
              </w:rPr>
              <w:t>If appropriate, finish with karakia.</w:t>
            </w:r>
          </w:p>
        </w:tc>
      </w:tr>
    </w:tbl>
    <w:p w:rsidR="009B10A7" w:rsidRDefault="009B10A7"/>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82"/>
        <w:gridCol w:w="3261"/>
        <w:gridCol w:w="2127"/>
        <w:gridCol w:w="2551"/>
      </w:tblGrid>
      <w:tr w:rsidR="00EE171E" w:rsidRPr="00D53D4F" w:rsidTr="00F23D64">
        <w:trPr>
          <w:trHeight w:val="1914"/>
        </w:trPr>
        <w:tc>
          <w:tcPr>
            <w:tcW w:w="1560" w:type="dxa"/>
            <w:shd w:val="clear" w:color="auto" w:fill="F2F2F2" w:themeFill="background1" w:themeFillShade="F2"/>
          </w:tcPr>
          <w:p w:rsidR="00EE171E" w:rsidRPr="00DD14EC" w:rsidRDefault="00EE171E" w:rsidP="00800699">
            <w:pPr>
              <w:rPr>
                <w:rFonts w:cs="Calibri"/>
                <w:b/>
                <w:szCs w:val="22"/>
              </w:rPr>
            </w:pPr>
            <w:r>
              <w:rPr>
                <w:rFonts w:cs="Calibri"/>
                <w:b/>
                <w:szCs w:val="22"/>
              </w:rPr>
              <w:lastRenderedPageBreak/>
              <w:t>Risk</w:t>
            </w:r>
          </w:p>
        </w:tc>
        <w:tc>
          <w:tcPr>
            <w:tcW w:w="8221" w:type="dxa"/>
            <w:gridSpan w:val="4"/>
            <w:shd w:val="clear" w:color="auto" w:fill="auto"/>
          </w:tcPr>
          <w:p w:rsidR="00EE171E" w:rsidRPr="00C7611C" w:rsidRDefault="006721A9" w:rsidP="00EE171E">
            <w:pPr>
              <w:rPr>
                <w:rStyle w:val="Hyperlink"/>
                <w:rFonts w:cs="Calibri"/>
                <w:szCs w:val="22"/>
              </w:rPr>
            </w:pPr>
            <w:r w:rsidRPr="00C7611C">
              <w:rPr>
                <w:rStyle w:val="hgkelc"/>
                <w:bCs/>
                <w:lang w:val="en"/>
              </w:rPr>
              <w:t>T</w:t>
            </w:r>
            <w:r w:rsidR="00453D63" w:rsidRPr="00C7611C">
              <w:rPr>
                <w:rStyle w:val="hgkelc"/>
                <w:bCs/>
                <w:lang w:val="en"/>
              </w:rPr>
              <w:t>he likelihood of an adverse event or outcome</w:t>
            </w:r>
            <w:r w:rsidR="00453D63" w:rsidRPr="00C7611C">
              <w:rPr>
                <w:rStyle w:val="hgkelc"/>
                <w:lang w:val="en"/>
              </w:rPr>
              <w:t>.</w:t>
            </w:r>
            <w:r w:rsidR="00C7611C">
              <w:rPr>
                <w:rStyle w:val="hgkelc"/>
                <w:lang w:val="en"/>
              </w:rPr>
              <w:t xml:space="preserve"> (MOH 1998).</w:t>
            </w:r>
          </w:p>
          <w:p w:rsidR="007D63CF" w:rsidRDefault="007D63CF" w:rsidP="006721A9">
            <w:pPr>
              <w:rPr>
                <w:rStyle w:val="Hyperlink"/>
                <w:rFonts w:cs="Calibri"/>
                <w:color w:val="auto"/>
                <w:szCs w:val="22"/>
                <w:u w:val="none"/>
              </w:rPr>
            </w:pPr>
          </w:p>
          <w:p w:rsidR="006721A9" w:rsidRDefault="007D63CF" w:rsidP="006721A9">
            <w:pPr>
              <w:rPr>
                <w:rStyle w:val="Hyperlink"/>
                <w:rFonts w:cs="Calibri"/>
                <w:color w:val="auto"/>
                <w:szCs w:val="22"/>
                <w:u w:val="none"/>
              </w:rPr>
            </w:pPr>
            <w:r>
              <w:rPr>
                <w:rStyle w:val="Hyperlink"/>
                <w:rFonts w:cs="Calibri"/>
                <w:color w:val="auto"/>
                <w:szCs w:val="22"/>
                <w:u w:val="none"/>
              </w:rPr>
              <w:t>(</w:t>
            </w:r>
            <w:r w:rsidR="006721A9">
              <w:rPr>
                <w:rStyle w:val="Hyperlink"/>
                <w:rFonts w:cs="Calibri"/>
                <w:color w:val="auto"/>
                <w:szCs w:val="22"/>
                <w:u w:val="none"/>
              </w:rPr>
              <w:t xml:space="preserve">Risk is complex and means different things to different people. All decisions carry some risk, so therefore risk cannot be eliminated. There is very little evidence that risk assessment is useful for predicting risk or reducing harm. </w:t>
            </w:r>
          </w:p>
          <w:p w:rsidR="007D63CF" w:rsidRPr="007D63CF" w:rsidRDefault="006721A9" w:rsidP="007D63CF">
            <w:pPr>
              <w:rPr>
                <w:rStyle w:val="Hyperlink"/>
                <w:rFonts w:cs="Calibri"/>
                <w:color w:val="auto"/>
                <w:szCs w:val="22"/>
                <w:u w:val="none"/>
              </w:rPr>
            </w:pPr>
            <w:r w:rsidRPr="007D63CF">
              <w:rPr>
                <w:rStyle w:val="Hyperlink"/>
                <w:rFonts w:cs="Calibri"/>
                <w:color w:val="auto"/>
                <w:szCs w:val="22"/>
                <w:u w:val="none"/>
              </w:rPr>
              <w:t>Indigenous cultures perceive risk within their cultural context.</w:t>
            </w:r>
            <w:r w:rsidR="007D63CF" w:rsidRPr="007D63CF">
              <w:rPr>
                <w:rStyle w:val="Hyperlink"/>
                <w:rFonts w:cs="Calibri"/>
                <w:color w:val="auto"/>
                <w:szCs w:val="22"/>
                <w:u w:val="none"/>
              </w:rPr>
              <w:t xml:space="preserve"> </w:t>
            </w:r>
            <w:r w:rsidR="001569FC">
              <w:rPr>
                <w:rStyle w:val="Hyperlink"/>
                <w:rFonts w:cs="Calibri"/>
                <w:color w:val="auto"/>
                <w:szCs w:val="22"/>
                <w:u w:val="none"/>
              </w:rPr>
              <w:t>(</w:t>
            </w:r>
            <w:r w:rsidR="007D63CF" w:rsidRPr="007D63CF">
              <w:rPr>
                <w:rStyle w:val="Hyperlink"/>
                <w:rFonts w:cs="Calibri"/>
                <w:i/>
                <w:color w:val="auto"/>
                <w:szCs w:val="22"/>
                <w:u w:val="none"/>
              </w:rPr>
              <w:t>He Arotake ngā Tūraru – Reviewing Risk. He kohinga kōrero – A discussion paper. Changem Ltd.</w:t>
            </w:r>
            <w:r w:rsidR="00C87A8A">
              <w:rPr>
                <w:rStyle w:val="Hyperlink"/>
                <w:rFonts w:cs="Calibri"/>
                <w:i/>
                <w:color w:val="auto"/>
                <w:szCs w:val="22"/>
                <w:u w:val="none"/>
              </w:rPr>
              <w:t xml:space="preserve"> MOH.</w:t>
            </w:r>
            <w:r w:rsidR="007D63CF">
              <w:rPr>
                <w:rStyle w:val="Hyperlink"/>
                <w:rFonts w:cs="Calibri"/>
                <w:i/>
                <w:color w:val="auto"/>
                <w:szCs w:val="22"/>
                <w:u w:val="none"/>
              </w:rPr>
              <w:t>)</w:t>
            </w:r>
          </w:p>
          <w:p w:rsidR="006721A9" w:rsidRDefault="006721A9" w:rsidP="006721A9">
            <w:pPr>
              <w:rPr>
                <w:rStyle w:val="Hyperlink"/>
                <w:rFonts w:cs="Calibri"/>
                <w:color w:val="auto"/>
                <w:szCs w:val="22"/>
                <w:u w:val="none"/>
              </w:rPr>
            </w:pPr>
          </w:p>
          <w:p w:rsidR="00EE171E" w:rsidRPr="00EE171E" w:rsidRDefault="00A066F2" w:rsidP="00120837">
            <w:pPr>
              <w:tabs>
                <w:tab w:val="left" w:pos="993"/>
              </w:tabs>
              <w:rPr>
                <w:rStyle w:val="Hyperlink"/>
                <w:rFonts w:cs="Calibri"/>
                <w:szCs w:val="22"/>
              </w:rPr>
            </w:pPr>
            <w:r w:rsidRPr="00C305C5">
              <w:rPr>
                <w:rFonts w:cs="Arial"/>
                <w:i/>
              </w:rPr>
              <w:t>Risk</w:t>
            </w:r>
            <w:r w:rsidRPr="00C305C5">
              <w:rPr>
                <w:rFonts w:cs="Arial"/>
              </w:rPr>
              <w:t xml:space="preserve"> </w:t>
            </w:r>
            <w:r>
              <w:rPr>
                <w:rFonts w:cs="Arial"/>
              </w:rPr>
              <w:t>refers to</w:t>
            </w:r>
            <w:r w:rsidRPr="00C305C5">
              <w:rPr>
                <w:rFonts w:cs="Arial"/>
              </w:rPr>
              <w:t xml:space="preserve"> </w:t>
            </w:r>
            <w:r>
              <w:rPr>
                <w:rFonts w:cs="Arial"/>
              </w:rPr>
              <w:t xml:space="preserve">the potential for pain, distress, harm, or loss as a result of the outcome(s) of a particular course of action, activity/inactivity or event.  The </w:t>
            </w:r>
            <w:r w:rsidRPr="00C305C5">
              <w:rPr>
                <w:rFonts w:cs="Arial"/>
              </w:rPr>
              <w:t xml:space="preserve">principal </w:t>
            </w:r>
            <w:r>
              <w:rPr>
                <w:rFonts w:cs="Arial"/>
              </w:rPr>
              <w:t xml:space="preserve">categories of risk are broadly: the risk of progression of illness – risk to health of the individual; the risk of deliberate self-harm, including suicidal behaviour; the risk of unintentional harm to self, exploitation; and; the risk of violence, or intimidation of others.  Particular risk may also be posed to people accessing </w:t>
            </w:r>
            <w:r w:rsidRPr="00C305C5">
              <w:rPr>
                <w:rFonts w:cs="Arial"/>
              </w:rPr>
              <w:t>mental health and addiction</w:t>
            </w:r>
            <w:r>
              <w:rPr>
                <w:rFonts w:cs="Arial"/>
              </w:rPr>
              <w:t xml:space="preserve"> services by systems and by the treatment itself.  These </w:t>
            </w:r>
            <w:r w:rsidRPr="00C305C5">
              <w:rPr>
                <w:rFonts w:cs="Arial"/>
              </w:rPr>
              <w:t xml:space="preserve">particular </w:t>
            </w:r>
            <w:r>
              <w:rPr>
                <w:rFonts w:cs="Arial"/>
              </w:rPr>
              <w:t>risks include but are not limited to – the side-effects and long-term effects of medication, ineffective care, institutionalisation, and stigma and stigmatisation.</w:t>
            </w:r>
            <w:r w:rsidR="00CE07EB">
              <w:rPr>
                <w:rFonts w:cs="Arial"/>
              </w:rPr>
              <w:t xml:space="preserve"> (NZQA Unit Standard, </w:t>
            </w:r>
            <w:r w:rsidR="00CE07EB">
              <w:t>Health, Disability, and Aged Support - Mental Health and Addiction Support Level 4</w:t>
            </w:r>
            <w:r w:rsidR="00D20FC4">
              <w:t>,2024</w:t>
            </w:r>
            <w:r w:rsidR="00CE07EB">
              <w:t>).</w:t>
            </w:r>
          </w:p>
        </w:tc>
      </w:tr>
      <w:tr w:rsidR="00CE07EB" w:rsidRPr="00D53D4F" w:rsidTr="0034248E">
        <w:trPr>
          <w:trHeight w:val="557"/>
        </w:trPr>
        <w:tc>
          <w:tcPr>
            <w:tcW w:w="1560" w:type="dxa"/>
            <w:shd w:val="clear" w:color="auto" w:fill="F2F2F2" w:themeFill="background1" w:themeFillShade="F2"/>
          </w:tcPr>
          <w:p w:rsidR="00CE07EB" w:rsidRDefault="00120837" w:rsidP="00800699">
            <w:pPr>
              <w:rPr>
                <w:rFonts w:cs="Calibri"/>
                <w:b/>
                <w:szCs w:val="22"/>
              </w:rPr>
            </w:pPr>
            <w:r>
              <w:rPr>
                <w:rFonts w:cs="Calibri"/>
                <w:b/>
                <w:szCs w:val="22"/>
              </w:rPr>
              <w:t>Risk aversion and defensive practices</w:t>
            </w:r>
          </w:p>
        </w:tc>
        <w:tc>
          <w:tcPr>
            <w:tcW w:w="8221" w:type="dxa"/>
            <w:gridSpan w:val="4"/>
            <w:shd w:val="clear" w:color="auto" w:fill="auto"/>
          </w:tcPr>
          <w:p w:rsidR="00CE07EB" w:rsidRPr="00C7611C" w:rsidRDefault="00120837" w:rsidP="004173C5">
            <w:pPr>
              <w:pStyle w:val="NormalWeb"/>
              <w:jc w:val="both"/>
              <w:rPr>
                <w:rStyle w:val="hgkelc"/>
                <w:bCs/>
                <w:lang w:val="en"/>
              </w:rPr>
            </w:pPr>
            <w:r w:rsidRPr="00120837">
              <w:rPr>
                <w:rFonts w:ascii="Calibri" w:hAnsi="Calibri" w:cs="Calibri"/>
                <w:sz w:val="22"/>
                <w:szCs w:val="22"/>
              </w:rPr>
              <w:t>Clinicians working under the Mental Health Act, particularly psychiatrists and mental health nurses whose decisions have been subject to criticism from DHB</w:t>
            </w:r>
            <w:r w:rsidR="00C87A8A">
              <w:rPr>
                <w:rFonts w:ascii="Calibri" w:hAnsi="Calibri" w:cs="Calibri"/>
                <w:sz w:val="22"/>
                <w:szCs w:val="22"/>
              </w:rPr>
              <w:t xml:space="preserve">/Te Whatu Ora </w:t>
            </w:r>
            <w:r w:rsidRPr="00120837">
              <w:rPr>
                <w:rFonts w:ascii="Calibri" w:hAnsi="Calibri" w:cs="Calibri"/>
                <w:sz w:val="22"/>
                <w:szCs w:val="22"/>
              </w:rPr>
              <w:t xml:space="preserve"> reviews, coroners’ inquests</w:t>
            </w:r>
            <w:r w:rsidR="00C87A8A">
              <w:rPr>
                <w:rFonts w:ascii="Calibri" w:hAnsi="Calibri" w:cs="Calibri"/>
                <w:sz w:val="22"/>
                <w:szCs w:val="22"/>
              </w:rPr>
              <w:t>,</w:t>
            </w:r>
            <w:r w:rsidRPr="00120837">
              <w:rPr>
                <w:rFonts w:ascii="Calibri" w:hAnsi="Calibri" w:cs="Calibri"/>
                <w:sz w:val="22"/>
                <w:szCs w:val="22"/>
              </w:rPr>
              <w:t xml:space="preserve"> and Health and Disability Commissioner investigations, have unsurprisingly developed a culture of risk aversion and defensive practice. This is a problem that extends beyond interpretation and application of the Mental Health Act, but many highly publicised cases involve decisions made under the Act. It is based on the flawed premise that risk prediction is an exact science. Instead of focusing on the patient’s best interests, too often clinicians attempt to ‘manage risk’. The results are not always good for patients, clinicians or, ultimately, the community. </w:t>
            </w:r>
            <w:r>
              <w:rPr>
                <w:rFonts w:ascii="Calibri" w:hAnsi="Calibri" w:cs="Calibri"/>
                <w:sz w:val="22"/>
                <w:szCs w:val="22"/>
              </w:rPr>
              <w:t>(</w:t>
            </w:r>
            <w:r w:rsidRPr="00120837">
              <w:rPr>
                <w:rFonts w:ascii="Calibri" w:hAnsi="Calibri" w:cs="Calibri"/>
                <w:sz w:val="22"/>
                <w:szCs w:val="22"/>
              </w:rPr>
              <w:t>He Ara Oranga</w:t>
            </w:r>
            <w:r>
              <w:rPr>
                <w:rFonts w:ascii="Calibri" w:hAnsi="Calibri" w:cs="Calibri"/>
                <w:sz w:val="22"/>
                <w:szCs w:val="22"/>
              </w:rPr>
              <w:t xml:space="preserve"> (2018).</w:t>
            </w:r>
            <w:r w:rsidR="00280BFA">
              <w:rPr>
                <w:rFonts w:ascii="Calibri" w:hAnsi="Calibri" w:cs="Calibri"/>
                <w:sz w:val="22"/>
                <w:szCs w:val="22"/>
              </w:rPr>
              <w:t xml:space="preserve"> </w:t>
            </w:r>
          </w:p>
        </w:tc>
      </w:tr>
      <w:tr w:rsidR="00280BFA" w:rsidRPr="00D53D4F" w:rsidTr="0034248E">
        <w:trPr>
          <w:trHeight w:val="557"/>
        </w:trPr>
        <w:tc>
          <w:tcPr>
            <w:tcW w:w="1560" w:type="dxa"/>
            <w:shd w:val="clear" w:color="auto" w:fill="F2F2F2" w:themeFill="background1" w:themeFillShade="F2"/>
          </w:tcPr>
          <w:p w:rsidR="006E44A3" w:rsidRDefault="0059447B" w:rsidP="0059447B">
            <w:pPr>
              <w:rPr>
                <w:rFonts w:cs="Calibri"/>
                <w:b/>
                <w:szCs w:val="22"/>
              </w:rPr>
            </w:pPr>
            <w:r>
              <w:rPr>
                <w:rFonts w:cs="Calibri"/>
                <w:b/>
                <w:szCs w:val="22"/>
              </w:rPr>
              <w:t>Safety/</w:t>
            </w:r>
          </w:p>
          <w:p w:rsidR="00280BFA" w:rsidRDefault="006E44A3" w:rsidP="0059447B">
            <w:pPr>
              <w:rPr>
                <w:rFonts w:cs="Calibri"/>
                <w:b/>
                <w:szCs w:val="22"/>
              </w:rPr>
            </w:pPr>
            <w:r>
              <w:rPr>
                <w:rFonts w:cs="Calibri"/>
                <w:b/>
                <w:szCs w:val="22"/>
              </w:rPr>
              <w:t>opportunity</w:t>
            </w:r>
          </w:p>
        </w:tc>
        <w:tc>
          <w:tcPr>
            <w:tcW w:w="8221" w:type="dxa"/>
            <w:gridSpan w:val="4"/>
            <w:shd w:val="clear" w:color="auto" w:fill="auto"/>
          </w:tcPr>
          <w:p w:rsidR="00280BFA" w:rsidRDefault="0007024E" w:rsidP="001C3A98">
            <w:r>
              <w:t xml:space="preserve">This term </w:t>
            </w:r>
            <w:r w:rsidR="00446697">
              <w:t xml:space="preserve">replaces the term ‘risk’ and </w:t>
            </w:r>
            <w:r>
              <w:t xml:space="preserve">is currently favoured by the Ministry of Health </w:t>
            </w:r>
            <w:r w:rsidR="00C87A8A">
              <w:t>and other</w:t>
            </w:r>
            <w:r>
              <w:t xml:space="preserve"> publications (refer to references)</w:t>
            </w:r>
            <w:r w:rsidR="00446697">
              <w:t xml:space="preserve">. </w:t>
            </w:r>
            <w:r>
              <w:t xml:space="preserve"> It is consistent with</w:t>
            </w:r>
            <w:r w:rsidR="001C3A98">
              <w:t xml:space="preserve"> the following approaches</w:t>
            </w:r>
            <w:r>
              <w:t>:</w:t>
            </w:r>
          </w:p>
          <w:p w:rsidR="001C3A98" w:rsidRDefault="00450D68" w:rsidP="00A12BCE">
            <w:pPr>
              <w:pStyle w:val="ListParagraph"/>
              <w:numPr>
                <w:ilvl w:val="0"/>
                <w:numId w:val="4"/>
              </w:numPr>
            </w:pPr>
            <w:r>
              <w:t>Recovery-based.</w:t>
            </w:r>
          </w:p>
          <w:p w:rsidR="001C3A98" w:rsidRDefault="00450D68" w:rsidP="00A12BCE">
            <w:pPr>
              <w:pStyle w:val="ListParagraph"/>
              <w:numPr>
                <w:ilvl w:val="0"/>
                <w:numId w:val="4"/>
              </w:numPr>
            </w:pPr>
            <w:r>
              <w:t>Strength-based.</w:t>
            </w:r>
          </w:p>
          <w:p w:rsidR="001C3A98" w:rsidRDefault="00450D68" w:rsidP="00A12BCE">
            <w:pPr>
              <w:pStyle w:val="ListParagraph"/>
              <w:numPr>
                <w:ilvl w:val="0"/>
                <w:numId w:val="4"/>
              </w:numPr>
            </w:pPr>
            <w:r>
              <w:t>Self-determination</w:t>
            </w:r>
            <w:r w:rsidR="00EB3E03">
              <w:t xml:space="preserve"> – mana motuhake, tino </w:t>
            </w:r>
            <w:r w:rsidR="006E44A3">
              <w:t>r</w:t>
            </w:r>
            <w:r>
              <w:t>angatiratanga.</w:t>
            </w:r>
          </w:p>
          <w:p w:rsidR="001C3A98" w:rsidRDefault="00450D68" w:rsidP="00A12BCE">
            <w:pPr>
              <w:pStyle w:val="ListParagraph"/>
              <w:numPr>
                <w:ilvl w:val="0"/>
                <w:numId w:val="4"/>
              </w:numPr>
            </w:pPr>
            <w:r>
              <w:t>Human</w:t>
            </w:r>
            <w:r w:rsidR="00E267D6">
              <w:t xml:space="preserve"> rights</w:t>
            </w:r>
            <w:r>
              <w:t>.</w:t>
            </w:r>
          </w:p>
          <w:p w:rsidR="00EE45B5" w:rsidRDefault="00450D68" w:rsidP="00A12BCE">
            <w:pPr>
              <w:pStyle w:val="ListParagraph"/>
              <w:numPr>
                <w:ilvl w:val="0"/>
                <w:numId w:val="4"/>
              </w:numPr>
            </w:pPr>
            <w:r>
              <w:t>Harm</w:t>
            </w:r>
            <w:r w:rsidR="00EE45B5">
              <w:t xml:space="preserve"> </w:t>
            </w:r>
            <w:r w:rsidR="000102E2">
              <w:t>–</w:t>
            </w:r>
            <w:r w:rsidR="00EE45B5">
              <w:t xml:space="preserve"> reduction</w:t>
            </w:r>
            <w:r>
              <w:t>.</w:t>
            </w:r>
          </w:p>
          <w:p w:rsidR="0007024E" w:rsidRPr="00120837" w:rsidRDefault="00450D68" w:rsidP="00A12BCE">
            <w:pPr>
              <w:pStyle w:val="ListParagraph"/>
              <w:numPr>
                <w:ilvl w:val="0"/>
                <w:numId w:val="4"/>
              </w:numPr>
            </w:pPr>
            <w:r>
              <w:t>Mātauranga</w:t>
            </w:r>
            <w:r w:rsidR="0060253C">
              <w:t xml:space="preserve"> M</w:t>
            </w:r>
            <w:r w:rsidR="0060253C" w:rsidRPr="00433FB0">
              <w:rPr>
                <w:rFonts w:cs="Calibri"/>
              </w:rPr>
              <w:t>ā</w:t>
            </w:r>
            <w:r w:rsidR="0060253C">
              <w:t>ori</w:t>
            </w:r>
            <w:r>
              <w:t>.</w:t>
            </w:r>
            <w:r w:rsidR="00433FB0">
              <w:t xml:space="preserve"> </w:t>
            </w:r>
          </w:p>
        </w:tc>
      </w:tr>
      <w:tr w:rsidR="008C2F99" w:rsidRPr="00D53D4F" w:rsidTr="0034248E">
        <w:trPr>
          <w:trHeight w:val="557"/>
        </w:trPr>
        <w:tc>
          <w:tcPr>
            <w:tcW w:w="1560" w:type="dxa"/>
            <w:shd w:val="clear" w:color="auto" w:fill="F2F2F2" w:themeFill="background1" w:themeFillShade="F2"/>
          </w:tcPr>
          <w:p w:rsidR="008C2F99" w:rsidRPr="00AA5059" w:rsidRDefault="00AA5059" w:rsidP="00800699">
            <w:pPr>
              <w:rPr>
                <w:rFonts w:cs="Calibri"/>
                <w:b/>
                <w:szCs w:val="22"/>
              </w:rPr>
            </w:pPr>
            <w:r w:rsidRPr="00AA5059">
              <w:rPr>
                <w:rFonts w:cs="Calibri"/>
                <w:b/>
                <w:szCs w:val="22"/>
              </w:rPr>
              <w:t>Tapu and Noa</w:t>
            </w:r>
          </w:p>
        </w:tc>
        <w:tc>
          <w:tcPr>
            <w:tcW w:w="8221" w:type="dxa"/>
            <w:gridSpan w:val="4"/>
            <w:shd w:val="clear" w:color="auto" w:fill="auto"/>
          </w:tcPr>
          <w:p w:rsidR="008C2F99" w:rsidRPr="00120837" w:rsidRDefault="00AA5059" w:rsidP="006E44A3">
            <w:pPr>
              <w:pStyle w:val="NormalWeb"/>
              <w:rPr>
                <w:rFonts w:ascii="Calibri" w:hAnsi="Calibri" w:cs="Calibri"/>
                <w:sz w:val="22"/>
                <w:szCs w:val="22"/>
              </w:rPr>
            </w:pPr>
            <w:r>
              <w:rPr>
                <w:rFonts w:ascii="Calibri" w:hAnsi="Calibri" w:cs="Calibri"/>
                <w:sz w:val="22"/>
                <w:szCs w:val="22"/>
              </w:rPr>
              <w:t xml:space="preserve">Examples of the concepts and tikanga of tapu and noa within a mental health and addiction context can be found in: A Mental Health and Addiction Framework: A Whanau Ora Approach Published by Te Rau Matatini 2014. </w:t>
            </w:r>
          </w:p>
        </w:tc>
      </w:tr>
      <w:tr w:rsidR="008C2F99" w:rsidRPr="00D53D4F" w:rsidTr="00F23D64">
        <w:trPr>
          <w:trHeight w:val="557"/>
        </w:trPr>
        <w:tc>
          <w:tcPr>
            <w:tcW w:w="9781" w:type="dxa"/>
            <w:gridSpan w:val="5"/>
            <w:shd w:val="clear" w:color="auto" w:fill="F2F2F2" w:themeFill="background1" w:themeFillShade="F2"/>
          </w:tcPr>
          <w:p w:rsidR="008C2F99" w:rsidRPr="00010B06" w:rsidRDefault="00F3004C" w:rsidP="0007024E">
            <w:pPr>
              <w:pStyle w:val="NormalWeb"/>
              <w:rPr>
                <w:rFonts w:ascii="Calibri" w:hAnsi="Calibri" w:cs="Calibri"/>
                <w:b/>
                <w:sz w:val="28"/>
                <w:szCs w:val="28"/>
              </w:rPr>
            </w:pPr>
            <w:r w:rsidRPr="00010B06">
              <w:rPr>
                <w:rFonts w:ascii="Calibri" w:hAnsi="Calibri" w:cs="Calibri"/>
                <w:b/>
                <w:sz w:val="28"/>
                <w:szCs w:val="28"/>
              </w:rPr>
              <w:t>Our safety conversations and planning are informed by:</w:t>
            </w:r>
          </w:p>
        </w:tc>
      </w:tr>
      <w:tr w:rsidR="008C2F99" w:rsidRPr="00D53D4F" w:rsidTr="00F23D64">
        <w:trPr>
          <w:trHeight w:val="557"/>
        </w:trPr>
        <w:tc>
          <w:tcPr>
            <w:tcW w:w="9781" w:type="dxa"/>
            <w:gridSpan w:val="5"/>
            <w:shd w:val="clear" w:color="auto" w:fill="auto"/>
          </w:tcPr>
          <w:p w:rsidR="00F3004C" w:rsidRPr="00F3004C" w:rsidRDefault="00824A22" w:rsidP="00A12BCE">
            <w:pPr>
              <w:pStyle w:val="ListParagraph"/>
              <w:numPr>
                <w:ilvl w:val="0"/>
                <w:numId w:val="3"/>
              </w:numPr>
              <w:rPr>
                <w:rFonts w:cs="Calibri"/>
                <w:szCs w:val="22"/>
              </w:rPr>
            </w:pPr>
            <w:r>
              <w:rPr>
                <w:rFonts w:cs="Calibri"/>
                <w:szCs w:val="22"/>
              </w:rPr>
              <w:t>A</w:t>
            </w:r>
            <w:r w:rsidR="00F3004C" w:rsidRPr="00F3004C">
              <w:rPr>
                <w:rFonts w:cs="Calibri"/>
                <w:szCs w:val="22"/>
              </w:rPr>
              <w:t xml:space="preserve"> process </w:t>
            </w:r>
            <w:r>
              <w:rPr>
                <w:rFonts w:cs="Calibri"/>
                <w:szCs w:val="22"/>
              </w:rPr>
              <w:t xml:space="preserve">based </w:t>
            </w:r>
            <w:r w:rsidR="00F3004C" w:rsidRPr="00F3004C">
              <w:rPr>
                <w:rFonts w:cs="Calibri"/>
                <w:szCs w:val="22"/>
              </w:rPr>
              <w:t xml:space="preserve">on shared decision making and the joint construction of personal safety plans. </w:t>
            </w:r>
          </w:p>
          <w:p w:rsidR="00F3004C" w:rsidRDefault="00824A22" w:rsidP="00A12BCE">
            <w:pPr>
              <w:pStyle w:val="ListParagraph"/>
              <w:numPr>
                <w:ilvl w:val="0"/>
                <w:numId w:val="3"/>
              </w:numPr>
              <w:rPr>
                <w:rFonts w:cs="Calibri"/>
                <w:szCs w:val="22"/>
              </w:rPr>
            </w:pPr>
            <w:r>
              <w:rPr>
                <w:rFonts w:cs="Calibri"/>
                <w:szCs w:val="22"/>
              </w:rPr>
              <w:t>A</w:t>
            </w:r>
            <w:r w:rsidR="00F3004C">
              <w:rPr>
                <w:rFonts w:cs="Calibri"/>
                <w:szCs w:val="22"/>
              </w:rPr>
              <w:t>n</w:t>
            </w:r>
            <w:r w:rsidR="00F3004C" w:rsidRPr="008E5EDF">
              <w:rPr>
                <w:rFonts w:cs="Calibri"/>
                <w:szCs w:val="22"/>
              </w:rPr>
              <w:t xml:space="preserve"> approach </w:t>
            </w:r>
            <w:r w:rsidR="00F3004C">
              <w:rPr>
                <w:rFonts w:cs="Calibri"/>
                <w:szCs w:val="22"/>
              </w:rPr>
              <w:t xml:space="preserve">that </w:t>
            </w:r>
            <w:r w:rsidR="00F3004C" w:rsidRPr="008E5EDF">
              <w:rPr>
                <w:rFonts w:cs="Calibri"/>
                <w:szCs w:val="22"/>
              </w:rPr>
              <w:t xml:space="preserve">respects </w:t>
            </w:r>
            <w:r w:rsidR="00F3004C" w:rsidRPr="004A32C7">
              <w:rPr>
                <w:rFonts w:cs="Calibri"/>
                <w:szCs w:val="22"/>
              </w:rPr>
              <w:t xml:space="preserve">tāngata whai ora/tāngata whaikaha </w:t>
            </w:r>
            <w:r w:rsidR="00F3004C" w:rsidRPr="008E5EDF">
              <w:rPr>
                <w:rFonts w:cs="Calibri"/>
                <w:szCs w:val="22"/>
              </w:rPr>
              <w:t>needs, while recognising everyone’s responsibilities –</w:t>
            </w:r>
            <w:r w:rsidR="00F3004C">
              <w:rPr>
                <w:rFonts w:cs="Calibri"/>
                <w:szCs w:val="22"/>
              </w:rPr>
              <w:t xml:space="preserve"> </w:t>
            </w:r>
            <w:r w:rsidR="00F3004C" w:rsidRPr="004A32C7">
              <w:rPr>
                <w:rFonts w:cs="Calibri"/>
                <w:szCs w:val="22"/>
              </w:rPr>
              <w:t>tāngata whai ora/tāngata whaikaha</w:t>
            </w:r>
            <w:r w:rsidR="00F3004C" w:rsidRPr="008E5EDF">
              <w:rPr>
                <w:rFonts w:cs="Calibri"/>
                <w:szCs w:val="22"/>
              </w:rPr>
              <w:t xml:space="preserve">, </w:t>
            </w:r>
            <w:r w:rsidR="00F3004C">
              <w:rPr>
                <w:rFonts w:cs="Calibri"/>
                <w:szCs w:val="22"/>
              </w:rPr>
              <w:t xml:space="preserve">whānau, </w:t>
            </w:r>
            <w:r w:rsidR="00EE45B5">
              <w:rPr>
                <w:rFonts w:cs="Calibri"/>
                <w:szCs w:val="22"/>
              </w:rPr>
              <w:t xml:space="preserve">friends, and service providers </w:t>
            </w:r>
            <w:r w:rsidR="00F3004C" w:rsidRPr="008E5EDF">
              <w:rPr>
                <w:rFonts w:cs="Calibri"/>
                <w:szCs w:val="22"/>
              </w:rPr>
              <w:t>– to behave in ways which will uphold and maintain personal</w:t>
            </w:r>
            <w:r w:rsidR="008B2302">
              <w:rPr>
                <w:rFonts w:cs="Calibri"/>
                <w:szCs w:val="22"/>
              </w:rPr>
              <w:t>, collective,</w:t>
            </w:r>
            <w:r w:rsidR="00F3004C" w:rsidRPr="008E5EDF">
              <w:rPr>
                <w:rFonts w:cs="Calibri"/>
                <w:szCs w:val="22"/>
              </w:rPr>
              <w:t xml:space="preserve"> and public safety.</w:t>
            </w:r>
          </w:p>
          <w:p w:rsidR="00F3004C" w:rsidRPr="00781765" w:rsidRDefault="00F3004C" w:rsidP="00A12BCE">
            <w:pPr>
              <w:pStyle w:val="ListParagraph"/>
              <w:numPr>
                <w:ilvl w:val="0"/>
                <w:numId w:val="3"/>
              </w:numPr>
              <w:rPr>
                <w:rFonts w:cs="Calibri"/>
                <w:szCs w:val="22"/>
              </w:rPr>
            </w:pPr>
            <w:r w:rsidRPr="000D6CEA">
              <w:rPr>
                <w:rFonts w:cs="Calibri"/>
                <w:szCs w:val="22"/>
              </w:rPr>
              <w:t>Acknowledg</w:t>
            </w:r>
            <w:r w:rsidR="00396298">
              <w:rPr>
                <w:rFonts w:cs="Calibri"/>
                <w:szCs w:val="22"/>
              </w:rPr>
              <w:t>ing</w:t>
            </w:r>
            <w:r w:rsidRPr="000D6CEA">
              <w:rPr>
                <w:rFonts w:cs="Calibri"/>
                <w:szCs w:val="22"/>
              </w:rPr>
              <w:t xml:space="preserve"> that </w:t>
            </w:r>
            <w:r w:rsidRPr="000D6CEA">
              <w:rPr>
                <w:rFonts w:asciiTheme="minorHAnsi" w:hAnsiTheme="minorHAnsi" w:cstheme="minorHAnsi"/>
                <w:szCs w:val="22"/>
              </w:rPr>
              <w:t xml:space="preserve">overdefensive, risk-avoidant practice is bad practice and is associated with avoidable harms to </w:t>
            </w:r>
            <w:r w:rsidR="008B2302" w:rsidRPr="004A32C7">
              <w:rPr>
                <w:rFonts w:cs="Calibri"/>
                <w:szCs w:val="22"/>
              </w:rPr>
              <w:t>tāngata whai ora/tāngata whaikaha</w:t>
            </w:r>
            <w:r w:rsidR="008B2302" w:rsidRPr="008E5EDF">
              <w:rPr>
                <w:rFonts w:cs="Calibri"/>
                <w:szCs w:val="22"/>
              </w:rPr>
              <w:t xml:space="preserve">, </w:t>
            </w:r>
            <w:r w:rsidR="008B2302">
              <w:rPr>
                <w:rFonts w:cs="Calibri"/>
                <w:szCs w:val="22"/>
              </w:rPr>
              <w:t>whānau</w:t>
            </w:r>
            <w:r w:rsidR="006E44A3">
              <w:rPr>
                <w:rFonts w:cs="Calibri"/>
                <w:szCs w:val="22"/>
              </w:rPr>
              <w:t>,</w:t>
            </w:r>
            <w:r w:rsidR="008B2302" w:rsidRPr="000D6CEA">
              <w:rPr>
                <w:rFonts w:asciiTheme="minorHAnsi" w:hAnsiTheme="minorHAnsi" w:cstheme="minorHAnsi"/>
                <w:szCs w:val="22"/>
              </w:rPr>
              <w:t xml:space="preserve"> </w:t>
            </w:r>
            <w:r w:rsidRPr="000D6CEA">
              <w:rPr>
                <w:rFonts w:asciiTheme="minorHAnsi" w:hAnsiTheme="minorHAnsi" w:cstheme="minorHAnsi"/>
                <w:szCs w:val="22"/>
              </w:rPr>
              <w:t>and to</w:t>
            </w:r>
            <w:r w:rsidR="008B2302">
              <w:rPr>
                <w:rFonts w:asciiTheme="minorHAnsi" w:hAnsiTheme="minorHAnsi" w:cstheme="minorHAnsi"/>
                <w:szCs w:val="22"/>
              </w:rPr>
              <w:t xml:space="preserve"> health care workers</w:t>
            </w:r>
            <w:r w:rsidRPr="000D6CEA">
              <w:rPr>
                <w:rFonts w:asciiTheme="minorHAnsi" w:hAnsiTheme="minorHAnsi" w:cstheme="minorHAnsi"/>
                <w:szCs w:val="22"/>
              </w:rPr>
              <w:t>.</w:t>
            </w:r>
          </w:p>
          <w:p w:rsidR="00F3004C" w:rsidRPr="00433FB0" w:rsidRDefault="00183B24" w:rsidP="00A12BCE">
            <w:pPr>
              <w:pStyle w:val="ListParagraph"/>
              <w:numPr>
                <w:ilvl w:val="0"/>
                <w:numId w:val="3"/>
              </w:numPr>
              <w:rPr>
                <w:rFonts w:cs="Calibri"/>
                <w:szCs w:val="22"/>
              </w:rPr>
            </w:pPr>
            <w:r>
              <w:rPr>
                <w:rFonts w:asciiTheme="minorHAnsi" w:hAnsiTheme="minorHAnsi" w:cstheme="minorHAnsi"/>
                <w:szCs w:val="22"/>
              </w:rPr>
              <w:t>A trauma</w:t>
            </w:r>
            <w:r w:rsidR="00F3004C">
              <w:rPr>
                <w:rFonts w:asciiTheme="minorHAnsi" w:hAnsiTheme="minorHAnsi" w:cstheme="minorHAnsi"/>
                <w:szCs w:val="22"/>
              </w:rPr>
              <w:t xml:space="preserve">-informed approach to </w:t>
            </w:r>
            <w:r w:rsidR="00396298">
              <w:rPr>
                <w:rFonts w:asciiTheme="minorHAnsi" w:hAnsiTheme="minorHAnsi" w:cstheme="minorHAnsi"/>
                <w:szCs w:val="22"/>
              </w:rPr>
              <w:t xml:space="preserve">safety </w:t>
            </w:r>
            <w:r w:rsidR="00F3004C">
              <w:rPr>
                <w:rFonts w:asciiTheme="minorHAnsi" w:hAnsiTheme="minorHAnsi" w:cstheme="minorHAnsi"/>
                <w:szCs w:val="22"/>
              </w:rPr>
              <w:t>to enhance recovery and acknowledge the harm of coercive care.</w:t>
            </w:r>
          </w:p>
          <w:p w:rsidR="00433FB0" w:rsidRDefault="00433FB0" w:rsidP="00A12BCE">
            <w:pPr>
              <w:pStyle w:val="ListParagraph"/>
              <w:numPr>
                <w:ilvl w:val="0"/>
                <w:numId w:val="3"/>
              </w:numPr>
            </w:pPr>
            <w:r>
              <w:t xml:space="preserve">Counterbalance the focus on harmful actions with the recognition of </w:t>
            </w:r>
            <w:r w:rsidRPr="004A32C7">
              <w:rPr>
                <w:rFonts w:cs="Calibri"/>
                <w:szCs w:val="22"/>
              </w:rPr>
              <w:t xml:space="preserve">tāngata whai ora/tāngata whaikaha </w:t>
            </w:r>
            <w:r>
              <w:rPr>
                <w:rFonts w:cs="Calibri"/>
                <w:szCs w:val="22"/>
              </w:rPr>
              <w:t xml:space="preserve">and their whānau </w:t>
            </w:r>
            <w:r>
              <w:t>capabilities.</w:t>
            </w:r>
          </w:p>
          <w:p w:rsidR="00433FB0" w:rsidRPr="000E556B" w:rsidRDefault="00433FB0" w:rsidP="00A12BCE">
            <w:pPr>
              <w:pStyle w:val="ListParagraph"/>
              <w:numPr>
                <w:ilvl w:val="0"/>
                <w:numId w:val="3"/>
              </w:numPr>
              <w:rPr>
                <w:rFonts w:cs="Calibri"/>
                <w:szCs w:val="22"/>
              </w:rPr>
            </w:pPr>
            <w:r>
              <w:t xml:space="preserve">Supporting </w:t>
            </w:r>
            <w:r w:rsidR="000E556B" w:rsidRPr="000E556B">
              <w:rPr>
                <w:rFonts w:cs="Calibri"/>
                <w:szCs w:val="22"/>
              </w:rPr>
              <w:t>tāngata whai ora/tāngata whaikaha and their whānau</w:t>
            </w:r>
            <w:r w:rsidR="001A42FC">
              <w:rPr>
                <w:rFonts w:cs="Calibri"/>
                <w:szCs w:val="22"/>
              </w:rPr>
              <w:t xml:space="preserve"> to recognise and use their own skills, resources and resourcefulness to manage safety.</w:t>
            </w:r>
          </w:p>
          <w:p w:rsidR="00F3004C" w:rsidRPr="004F31EC" w:rsidRDefault="00F3004C" w:rsidP="00A12BCE">
            <w:pPr>
              <w:pStyle w:val="ListParagraph"/>
              <w:numPr>
                <w:ilvl w:val="0"/>
                <w:numId w:val="3"/>
              </w:numPr>
              <w:rPr>
                <w:rFonts w:cs="Calibri"/>
                <w:szCs w:val="22"/>
              </w:rPr>
            </w:pPr>
            <w:r>
              <w:rPr>
                <w:rFonts w:asciiTheme="minorHAnsi" w:hAnsiTheme="minorHAnsi" w:cstheme="minorHAnsi"/>
                <w:szCs w:val="22"/>
              </w:rPr>
              <w:t>Integrat</w:t>
            </w:r>
            <w:r w:rsidR="00EE45B5">
              <w:rPr>
                <w:rFonts w:asciiTheme="minorHAnsi" w:hAnsiTheme="minorHAnsi" w:cstheme="minorHAnsi"/>
                <w:szCs w:val="22"/>
              </w:rPr>
              <w:t>ing</w:t>
            </w:r>
            <w:r>
              <w:rPr>
                <w:rFonts w:asciiTheme="minorHAnsi" w:hAnsiTheme="minorHAnsi" w:cstheme="minorHAnsi"/>
                <w:szCs w:val="22"/>
              </w:rPr>
              <w:t xml:space="preserve"> cultural/Māori tikanga when collaboratively developing safety plans.</w:t>
            </w:r>
          </w:p>
          <w:p w:rsidR="00F3004C" w:rsidRPr="00183B24" w:rsidRDefault="00EE45B5" w:rsidP="00A12BCE">
            <w:pPr>
              <w:pStyle w:val="ListParagraph"/>
              <w:numPr>
                <w:ilvl w:val="0"/>
                <w:numId w:val="3"/>
              </w:numPr>
            </w:pPr>
            <w:r>
              <w:rPr>
                <w:rFonts w:asciiTheme="minorHAnsi" w:hAnsiTheme="minorHAnsi" w:cstheme="minorHAnsi"/>
                <w:szCs w:val="22"/>
              </w:rPr>
              <w:t>Differentiating</w:t>
            </w:r>
            <w:r w:rsidR="00F3004C" w:rsidRPr="00F3004C">
              <w:rPr>
                <w:rFonts w:asciiTheme="minorHAnsi" w:hAnsiTheme="minorHAnsi" w:cstheme="minorHAnsi"/>
                <w:szCs w:val="22"/>
              </w:rPr>
              <w:t xml:space="preserve"> between safety issues/risks that must be minimised and safety issues/risks that people have a right to experience.</w:t>
            </w:r>
          </w:p>
          <w:p w:rsidR="00D474B4" w:rsidRDefault="00183B24" w:rsidP="00A12BCE">
            <w:pPr>
              <w:pStyle w:val="ListParagraph"/>
              <w:numPr>
                <w:ilvl w:val="0"/>
                <w:numId w:val="3"/>
              </w:numPr>
            </w:pPr>
            <w:r>
              <w:t xml:space="preserve">Using a hui </w:t>
            </w:r>
            <w:r w:rsidR="00D474B4">
              <w:t>process when having safety conversations and planning.</w:t>
            </w:r>
          </w:p>
          <w:p w:rsidR="008C2F99" w:rsidRPr="00120837" w:rsidRDefault="00183B24" w:rsidP="00A12BCE">
            <w:pPr>
              <w:pStyle w:val="ListParagraph"/>
              <w:numPr>
                <w:ilvl w:val="0"/>
                <w:numId w:val="3"/>
              </w:numPr>
              <w:rPr>
                <w:rFonts w:cs="Calibri"/>
                <w:szCs w:val="22"/>
              </w:rPr>
            </w:pPr>
            <w:r>
              <w:t>Pacifica approaches to wellbeing</w:t>
            </w:r>
            <w:r w:rsidR="00050172">
              <w:t xml:space="preserve"> and </w:t>
            </w:r>
            <w:r w:rsidR="00D20E77">
              <w:t>safety</w:t>
            </w:r>
            <w:r>
              <w:t>.</w:t>
            </w:r>
          </w:p>
        </w:tc>
      </w:tr>
      <w:tr w:rsidR="003A7524" w:rsidRPr="00D53D4F" w:rsidTr="00F23D64">
        <w:trPr>
          <w:trHeight w:val="557"/>
        </w:trPr>
        <w:tc>
          <w:tcPr>
            <w:tcW w:w="9781" w:type="dxa"/>
            <w:gridSpan w:val="5"/>
            <w:shd w:val="clear" w:color="auto" w:fill="F2F2F2" w:themeFill="background1" w:themeFillShade="F2"/>
          </w:tcPr>
          <w:p w:rsidR="003A7524" w:rsidRPr="00010B06" w:rsidRDefault="003A7524" w:rsidP="00010B06">
            <w:pPr>
              <w:rPr>
                <w:rFonts w:cs="Calibri"/>
                <w:b/>
                <w:sz w:val="28"/>
                <w:szCs w:val="28"/>
              </w:rPr>
            </w:pPr>
            <w:r w:rsidRPr="00010B06">
              <w:rPr>
                <w:rFonts w:cs="Calibri"/>
                <w:b/>
                <w:sz w:val="28"/>
                <w:szCs w:val="28"/>
              </w:rPr>
              <w:t xml:space="preserve">Big-picture approach to </w:t>
            </w:r>
            <w:r w:rsidR="00050172" w:rsidRPr="00010B06">
              <w:rPr>
                <w:rFonts w:cs="Calibri"/>
                <w:b/>
                <w:sz w:val="28"/>
                <w:szCs w:val="28"/>
              </w:rPr>
              <w:t>safety</w:t>
            </w:r>
            <w:r w:rsidR="009F547D" w:rsidRPr="00010B06">
              <w:rPr>
                <w:rFonts w:cs="Calibri"/>
                <w:b/>
                <w:sz w:val="28"/>
                <w:szCs w:val="28"/>
              </w:rPr>
              <w:t xml:space="preserve"> </w:t>
            </w:r>
          </w:p>
        </w:tc>
      </w:tr>
      <w:tr w:rsidR="00181613" w:rsidRPr="00D53D4F" w:rsidTr="00F23D64">
        <w:trPr>
          <w:trHeight w:val="557"/>
        </w:trPr>
        <w:tc>
          <w:tcPr>
            <w:tcW w:w="9781" w:type="dxa"/>
            <w:gridSpan w:val="5"/>
            <w:shd w:val="clear" w:color="auto" w:fill="F2F2F2" w:themeFill="background1" w:themeFillShade="F2"/>
          </w:tcPr>
          <w:p w:rsidR="00181613" w:rsidRPr="00541385" w:rsidRDefault="00181613" w:rsidP="00181613">
            <w:pPr>
              <w:rPr>
                <w:rFonts w:cs="Calibri"/>
                <w:b/>
                <w:szCs w:val="22"/>
              </w:rPr>
            </w:pPr>
            <w:r w:rsidRPr="00541385">
              <w:rPr>
                <w:rFonts w:cs="Calibri"/>
                <w:b/>
                <w:szCs w:val="22"/>
              </w:rPr>
              <w:t xml:space="preserve">We consider factors that might drive </w:t>
            </w:r>
            <w:r>
              <w:rPr>
                <w:rFonts w:cs="Calibri"/>
                <w:b/>
                <w:szCs w:val="22"/>
              </w:rPr>
              <w:t xml:space="preserve">safety issues/risks </w:t>
            </w:r>
            <w:r w:rsidRPr="00541385">
              <w:rPr>
                <w:rFonts w:cs="Calibri"/>
                <w:b/>
                <w:szCs w:val="22"/>
              </w:rPr>
              <w:t>for tāngata whai ora/tāngata whaikaha</w:t>
            </w:r>
            <w:r>
              <w:rPr>
                <w:rFonts w:cs="Calibri"/>
                <w:b/>
                <w:szCs w:val="22"/>
              </w:rPr>
              <w:t>. For example:</w:t>
            </w:r>
          </w:p>
        </w:tc>
      </w:tr>
      <w:tr w:rsidR="006319F8" w:rsidRPr="00D53D4F" w:rsidTr="00F23D64">
        <w:trPr>
          <w:trHeight w:val="557"/>
        </w:trPr>
        <w:tc>
          <w:tcPr>
            <w:tcW w:w="1842" w:type="dxa"/>
            <w:gridSpan w:val="2"/>
            <w:shd w:val="clear" w:color="auto" w:fill="FBE4D5" w:themeFill="accent2" w:themeFillTint="33"/>
          </w:tcPr>
          <w:p w:rsidR="006319F8" w:rsidRPr="00541385" w:rsidRDefault="00F96274" w:rsidP="003A7524">
            <w:pPr>
              <w:rPr>
                <w:rFonts w:cs="Calibri"/>
                <w:b/>
                <w:szCs w:val="22"/>
              </w:rPr>
            </w:pPr>
            <w:r w:rsidRPr="00541385">
              <w:rPr>
                <w:rFonts w:cs="Calibri"/>
                <w:b/>
                <w:szCs w:val="22"/>
              </w:rPr>
              <w:t>State of mind</w:t>
            </w:r>
          </w:p>
          <w:p w:rsidR="00F96274" w:rsidRPr="00541385" w:rsidRDefault="00F96274" w:rsidP="003A7524">
            <w:pPr>
              <w:rPr>
                <w:rFonts w:cs="Calibri"/>
                <w:b/>
                <w:szCs w:val="22"/>
              </w:rPr>
            </w:pPr>
            <w:r w:rsidRPr="00541385">
              <w:rPr>
                <w:rFonts w:cs="Calibri"/>
                <w:b/>
                <w:szCs w:val="22"/>
              </w:rPr>
              <w:t>(there is no exact definition of this term)</w:t>
            </w:r>
          </w:p>
        </w:tc>
        <w:tc>
          <w:tcPr>
            <w:tcW w:w="3261" w:type="dxa"/>
            <w:shd w:val="clear" w:color="auto" w:fill="FFF2CC" w:themeFill="accent4" w:themeFillTint="33"/>
          </w:tcPr>
          <w:p w:rsidR="006319F8" w:rsidRPr="00541385" w:rsidRDefault="00F96274" w:rsidP="003A7524">
            <w:pPr>
              <w:rPr>
                <w:rFonts w:cs="Calibri"/>
                <w:b/>
                <w:szCs w:val="22"/>
              </w:rPr>
            </w:pPr>
            <w:r w:rsidRPr="00541385">
              <w:rPr>
                <w:rFonts w:cs="Calibri"/>
                <w:b/>
                <w:szCs w:val="22"/>
              </w:rPr>
              <w:t>Medical issues</w:t>
            </w:r>
          </w:p>
        </w:tc>
        <w:tc>
          <w:tcPr>
            <w:tcW w:w="2127" w:type="dxa"/>
            <w:shd w:val="clear" w:color="auto" w:fill="E2EFD9" w:themeFill="accent6" w:themeFillTint="33"/>
          </w:tcPr>
          <w:p w:rsidR="006319F8" w:rsidRPr="00541385" w:rsidRDefault="00541385" w:rsidP="003A7524">
            <w:pPr>
              <w:rPr>
                <w:rFonts w:cs="Calibri"/>
                <w:b/>
                <w:szCs w:val="22"/>
              </w:rPr>
            </w:pPr>
            <w:r w:rsidRPr="00541385">
              <w:rPr>
                <w:rFonts w:cs="Calibri"/>
                <w:b/>
                <w:szCs w:val="22"/>
              </w:rPr>
              <w:t>Environment</w:t>
            </w:r>
          </w:p>
        </w:tc>
        <w:tc>
          <w:tcPr>
            <w:tcW w:w="2551" w:type="dxa"/>
            <w:shd w:val="clear" w:color="auto" w:fill="DEEAF6" w:themeFill="accent1" w:themeFillTint="33"/>
          </w:tcPr>
          <w:p w:rsidR="006319F8" w:rsidRPr="00541385" w:rsidRDefault="00541385" w:rsidP="003A7524">
            <w:pPr>
              <w:rPr>
                <w:rFonts w:cs="Calibri"/>
                <w:b/>
                <w:szCs w:val="22"/>
              </w:rPr>
            </w:pPr>
            <w:r w:rsidRPr="00541385">
              <w:rPr>
                <w:rFonts w:cs="Calibri"/>
                <w:b/>
                <w:szCs w:val="22"/>
              </w:rPr>
              <w:t>Relationships</w:t>
            </w:r>
          </w:p>
        </w:tc>
      </w:tr>
      <w:tr w:rsidR="00181613" w:rsidRPr="00D53D4F" w:rsidTr="00F23D64">
        <w:trPr>
          <w:trHeight w:val="557"/>
        </w:trPr>
        <w:tc>
          <w:tcPr>
            <w:tcW w:w="1842" w:type="dxa"/>
            <w:gridSpan w:val="2"/>
            <w:shd w:val="clear" w:color="auto" w:fill="auto"/>
          </w:tcPr>
          <w:p w:rsidR="00181613" w:rsidRDefault="00181613" w:rsidP="00A12BCE">
            <w:pPr>
              <w:pStyle w:val="ListParagraph"/>
              <w:numPr>
                <w:ilvl w:val="0"/>
                <w:numId w:val="7"/>
              </w:numPr>
              <w:rPr>
                <w:rFonts w:cs="Calibri"/>
                <w:szCs w:val="22"/>
              </w:rPr>
            </w:pPr>
            <w:r>
              <w:rPr>
                <w:rFonts w:cs="Calibri"/>
                <w:szCs w:val="22"/>
              </w:rPr>
              <w:t>Cognition</w:t>
            </w:r>
          </w:p>
          <w:p w:rsidR="00181613" w:rsidRDefault="00181613" w:rsidP="00A12BCE">
            <w:pPr>
              <w:pStyle w:val="ListParagraph"/>
              <w:numPr>
                <w:ilvl w:val="0"/>
                <w:numId w:val="7"/>
              </w:numPr>
              <w:rPr>
                <w:rFonts w:cs="Calibri"/>
                <w:szCs w:val="22"/>
              </w:rPr>
            </w:pPr>
            <w:r>
              <w:rPr>
                <w:rFonts w:cs="Calibri"/>
                <w:szCs w:val="22"/>
              </w:rPr>
              <w:t>Perception</w:t>
            </w:r>
          </w:p>
          <w:p w:rsidR="00C75316" w:rsidRDefault="00181613" w:rsidP="00A12BCE">
            <w:pPr>
              <w:pStyle w:val="ListParagraph"/>
              <w:numPr>
                <w:ilvl w:val="0"/>
                <w:numId w:val="7"/>
              </w:numPr>
              <w:rPr>
                <w:rFonts w:cs="Calibri"/>
                <w:szCs w:val="22"/>
              </w:rPr>
            </w:pPr>
            <w:r w:rsidRPr="00C75316">
              <w:rPr>
                <w:rFonts w:cs="Calibri"/>
                <w:szCs w:val="22"/>
              </w:rPr>
              <w:t>Emotions</w:t>
            </w:r>
          </w:p>
          <w:p w:rsidR="00181613" w:rsidRPr="00C75316" w:rsidRDefault="00181613" w:rsidP="00A12BCE">
            <w:pPr>
              <w:pStyle w:val="ListParagraph"/>
              <w:numPr>
                <w:ilvl w:val="0"/>
                <w:numId w:val="7"/>
              </w:numPr>
              <w:rPr>
                <w:rFonts w:cs="Calibri"/>
                <w:szCs w:val="22"/>
              </w:rPr>
            </w:pPr>
            <w:r w:rsidRPr="00C75316">
              <w:rPr>
                <w:rFonts w:cs="Calibri"/>
                <w:szCs w:val="22"/>
              </w:rPr>
              <w:t>Memory</w:t>
            </w:r>
          </w:p>
          <w:p w:rsidR="00181613" w:rsidRDefault="00181613" w:rsidP="00A12BCE">
            <w:pPr>
              <w:pStyle w:val="ListParagraph"/>
              <w:numPr>
                <w:ilvl w:val="0"/>
                <w:numId w:val="7"/>
              </w:numPr>
              <w:rPr>
                <w:rFonts w:cs="Calibri"/>
                <w:szCs w:val="22"/>
              </w:rPr>
            </w:pPr>
            <w:r>
              <w:rPr>
                <w:rFonts w:cs="Calibri"/>
                <w:szCs w:val="22"/>
              </w:rPr>
              <w:t>Belief</w:t>
            </w:r>
          </w:p>
          <w:p w:rsidR="00181613" w:rsidRDefault="00181613" w:rsidP="00A12BCE">
            <w:pPr>
              <w:pStyle w:val="ListParagraph"/>
              <w:numPr>
                <w:ilvl w:val="0"/>
                <w:numId w:val="7"/>
              </w:numPr>
              <w:rPr>
                <w:rFonts w:cs="Calibri"/>
                <w:szCs w:val="22"/>
              </w:rPr>
            </w:pPr>
            <w:r>
              <w:rPr>
                <w:rFonts w:cs="Calibri"/>
                <w:szCs w:val="22"/>
              </w:rPr>
              <w:t>Desire</w:t>
            </w:r>
          </w:p>
          <w:p w:rsidR="00181613" w:rsidRDefault="00C75316" w:rsidP="00A12BCE">
            <w:pPr>
              <w:pStyle w:val="ListParagraph"/>
              <w:numPr>
                <w:ilvl w:val="0"/>
                <w:numId w:val="7"/>
              </w:numPr>
              <w:rPr>
                <w:rFonts w:cs="Calibri"/>
                <w:szCs w:val="22"/>
              </w:rPr>
            </w:pPr>
            <w:r>
              <w:rPr>
                <w:rFonts w:cs="Calibri"/>
                <w:szCs w:val="22"/>
              </w:rPr>
              <w:t>Intention</w:t>
            </w:r>
          </w:p>
          <w:p w:rsidR="00181613" w:rsidRDefault="00C75316" w:rsidP="00A12BCE">
            <w:pPr>
              <w:pStyle w:val="ListParagraph"/>
              <w:numPr>
                <w:ilvl w:val="0"/>
                <w:numId w:val="7"/>
              </w:numPr>
              <w:rPr>
                <w:rFonts w:cs="Calibri"/>
                <w:szCs w:val="22"/>
              </w:rPr>
            </w:pPr>
            <w:r>
              <w:rPr>
                <w:rFonts w:cs="Calibri"/>
                <w:szCs w:val="22"/>
              </w:rPr>
              <w:t>Immediate stressors</w:t>
            </w:r>
          </w:p>
          <w:p w:rsidR="00181613" w:rsidRPr="001079E0" w:rsidRDefault="00181613" w:rsidP="00A12BCE">
            <w:pPr>
              <w:pStyle w:val="ListParagraph"/>
              <w:numPr>
                <w:ilvl w:val="0"/>
                <w:numId w:val="7"/>
              </w:numPr>
              <w:rPr>
                <w:rFonts w:cs="Calibri"/>
                <w:szCs w:val="22"/>
              </w:rPr>
            </w:pPr>
            <w:r>
              <w:rPr>
                <w:rFonts w:cs="Calibri"/>
                <w:szCs w:val="22"/>
              </w:rPr>
              <w:t>Neurodiversity</w:t>
            </w:r>
          </w:p>
        </w:tc>
        <w:tc>
          <w:tcPr>
            <w:tcW w:w="3261" w:type="dxa"/>
            <w:shd w:val="clear" w:color="auto" w:fill="auto"/>
          </w:tcPr>
          <w:p w:rsidR="00181613" w:rsidRPr="00DD14EC" w:rsidRDefault="00181613" w:rsidP="00A12BCE">
            <w:pPr>
              <w:numPr>
                <w:ilvl w:val="0"/>
                <w:numId w:val="7"/>
              </w:numPr>
              <w:rPr>
                <w:rFonts w:cs="Calibri"/>
                <w:szCs w:val="22"/>
              </w:rPr>
            </w:pPr>
            <w:r>
              <w:rPr>
                <w:rFonts w:cs="Calibri"/>
                <w:szCs w:val="22"/>
              </w:rPr>
              <w:t>Injuries – especially head injuries</w:t>
            </w:r>
          </w:p>
          <w:p w:rsidR="00181613" w:rsidRPr="00DD14EC" w:rsidRDefault="00181613" w:rsidP="00A12BCE">
            <w:pPr>
              <w:numPr>
                <w:ilvl w:val="0"/>
                <w:numId w:val="7"/>
              </w:numPr>
              <w:rPr>
                <w:rFonts w:cs="Calibri"/>
                <w:szCs w:val="22"/>
              </w:rPr>
            </w:pPr>
            <w:r>
              <w:rPr>
                <w:rFonts w:cs="Calibri"/>
                <w:szCs w:val="22"/>
              </w:rPr>
              <w:t>Substance use</w:t>
            </w:r>
            <w:r w:rsidRPr="00DD14EC">
              <w:rPr>
                <w:rFonts w:cs="Calibri"/>
                <w:szCs w:val="22"/>
              </w:rPr>
              <w:t xml:space="preserve"> </w:t>
            </w:r>
          </w:p>
          <w:p w:rsidR="00181613" w:rsidRPr="00DD14EC" w:rsidRDefault="00181613" w:rsidP="00A12BCE">
            <w:pPr>
              <w:numPr>
                <w:ilvl w:val="0"/>
                <w:numId w:val="7"/>
              </w:numPr>
              <w:rPr>
                <w:rFonts w:cs="Calibri"/>
                <w:szCs w:val="22"/>
              </w:rPr>
            </w:pPr>
            <w:r>
              <w:rPr>
                <w:rFonts w:cs="Calibri"/>
                <w:szCs w:val="22"/>
              </w:rPr>
              <w:t>Allergies</w:t>
            </w:r>
          </w:p>
          <w:p w:rsidR="00181613" w:rsidRPr="00BB085C" w:rsidRDefault="00181613" w:rsidP="00A12BCE">
            <w:pPr>
              <w:numPr>
                <w:ilvl w:val="0"/>
                <w:numId w:val="7"/>
              </w:numPr>
              <w:rPr>
                <w:rFonts w:cs="Calibri"/>
                <w:b/>
                <w:szCs w:val="22"/>
              </w:rPr>
            </w:pPr>
            <w:r>
              <w:rPr>
                <w:rFonts w:cs="Calibri"/>
                <w:szCs w:val="22"/>
              </w:rPr>
              <w:t>Medicine</w:t>
            </w:r>
            <w:r w:rsidRPr="00DD14EC">
              <w:rPr>
                <w:rFonts w:cs="Calibri"/>
                <w:szCs w:val="22"/>
              </w:rPr>
              <w:t xml:space="preserve"> adverse effects</w:t>
            </w:r>
          </w:p>
          <w:p w:rsidR="00181613" w:rsidRDefault="00181613" w:rsidP="00A12BCE">
            <w:pPr>
              <w:pStyle w:val="ListParagraph"/>
              <w:numPr>
                <w:ilvl w:val="0"/>
                <w:numId w:val="7"/>
              </w:numPr>
              <w:rPr>
                <w:rFonts w:cs="Calibri"/>
                <w:szCs w:val="22"/>
              </w:rPr>
            </w:pPr>
            <w:r w:rsidRPr="00F96274">
              <w:rPr>
                <w:rFonts w:cs="Calibri"/>
                <w:szCs w:val="22"/>
              </w:rPr>
              <w:t>Sensory issues</w:t>
            </w:r>
          </w:p>
          <w:p w:rsidR="00181613" w:rsidRDefault="00C75316" w:rsidP="00A12BCE">
            <w:pPr>
              <w:pStyle w:val="ListParagraph"/>
              <w:numPr>
                <w:ilvl w:val="0"/>
                <w:numId w:val="7"/>
              </w:numPr>
              <w:rPr>
                <w:rFonts w:cs="Calibri"/>
                <w:szCs w:val="22"/>
              </w:rPr>
            </w:pPr>
            <w:r>
              <w:rPr>
                <w:rFonts w:cs="Calibri"/>
                <w:szCs w:val="22"/>
              </w:rPr>
              <w:t>Diabetes</w:t>
            </w:r>
          </w:p>
          <w:p w:rsidR="00181613" w:rsidRDefault="00C75316" w:rsidP="00A12BCE">
            <w:pPr>
              <w:pStyle w:val="ListParagraph"/>
              <w:numPr>
                <w:ilvl w:val="0"/>
                <w:numId w:val="7"/>
              </w:numPr>
              <w:rPr>
                <w:rFonts w:cs="Calibri"/>
                <w:szCs w:val="22"/>
              </w:rPr>
            </w:pPr>
            <w:r>
              <w:rPr>
                <w:rFonts w:cs="Calibri"/>
                <w:szCs w:val="22"/>
              </w:rPr>
              <w:t>Asthma</w:t>
            </w:r>
          </w:p>
          <w:p w:rsidR="00181613" w:rsidRDefault="00181613" w:rsidP="00A12BCE">
            <w:pPr>
              <w:pStyle w:val="ListParagraph"/>
              <w:numPr>
                <w:ilvl w:val="0"/>
                <w:numId w:val="7"/>
              </w:numPr>
              <w:rPr>
                <w:rFonts w:cs="Calibri"/>
                <w:szCs w:val="22"/>
              </w:rPr>
            </w:pPr>
            <w:r>
              <w:rPr>
                <w:rFonts w:cs="Calibri"/>
                <w:szCs w:val="22"/>
              </w:rPr>
              <w:t>Condition that has not been able to be effectively managed</w:t>
            </w:r>
          </w:p>
          <w:p w:rsidR="00181613" w:rsidRDefault="00181613" w:rsidP="00A12BCE">
            <w:pPr>
              <w:pStyle w:val="ListParagraph"/>
              <w:numPr>
                <w:ilvl w:val="0"/>
                <w:numId w:val="7"/>
              </w:numPr>
              <w:rPr>
                <w:rFonts w:cs="Calibri"/>
                <w:szCs w:val="22"/>
              </w:rPr>
            </w:pPr>
            <w:r>
              <w:rPr>
                <w:rFonts w:cs="Calibri"/>
                <w:szCs w:val="22"/>
              </w:rPr>
              <w:t>Metabolic syndrome</w:t>
            </w:r>
          </w:p>
          <w:p w:rsidR="00181613" w:rsidRDefault="00181613" w:rsidP="00A12BCE">
            <w:pPr>
              <w:pStyle w:val="ListParagraph"/>
              <w:numPr>
                <w:ilvl w:val="0"/>
                <w:numId w:val="7"/>
              </w:numPr>
              <w:rPr>
                <w:rFonts w:cs="Calibri"/>
                <w:szCs w:val="22"/>
              </w:rPr>
            </w:pPr>
            <w:r>
              <w:rPr>
                <w:rFonts w:cs="Calibri"/>
                <w:szCs w:val="22"/>
              </w:rPr>
              <w:t>Pain</w:t>
            </w:r>
          </w:p>
          <w:p w:rsidR="00181613" w:rsidRPr="00F96274" w:rsidRDefault="00181613" w:rsidP="00A12BCE">
            <w:pPr>
              <w:pStyle w:val="ListParagraph"/>
              <w:numPr>
                <w:ilvl w:val="0"/>
                <w:numId w:val="7"/>
              </w:numPr>
              <w:rPr>
                <w:rFonts w:cs="Calibri"/>
                <w:szCs w:val="22"/>
              </w:rPr>
            </w:pPr>
            <w:r>
              <w:rPr>
                <w:rFonts w:cs="Calibri"/>
                <w:szCs w:val="22"/>
              </w:rPr>
              <w:t>Infection</w:t>
            </w:r>
          </w:p>
        </w:tc>
        <w:tc>
          <w:tcPr>
            <w:tcW w:w="2127" w:type="dxa"/>
            <w:vMerge w:val="restart"/>
            <w:shd w:val="clear" w:color="auto" w:fill="auto"/>
          </w:tcPr>
          <w:p w:rsidR="00181613" w:rsidRDefault="00181613" w:rsidP="00A12BCE">
            <w:pPr>
              <w:pStyle w:val="ListParagraph"/>
              <w:numPr>
                <w:ilvl w:val="0"/>
                <w:numId w:val="7"/>
              </w:numPr>
              <w:rPr>
                <w:rFonts w:cs="Calibri"/>
                <w:szCs w:val="22"/>
              </w:rPr>
            </w:pPr>
            <w:r>
              <w:rPr>
                <w:rFonts w:cs="Calibri"/>
                <w:szCs w:val="22"/>
              </w:rPr>
              <w:t>H</w:t>
            </w:r>
            <w:r w:rsidR="00C75316">
              <w:rPr>
                <w:rFonts w:cs="Calibri"/>
                <w:szCs w:val="22"/>
              </w:rPr>
              <w:t>omelessness</w:t>
            </w:r>
          </w:p>
          <w:p w:rsidR="00181613" w:rsidRDefault="00181613" w:rsidP="00A12BCE">
            <w:pPr>
              <w:pStyle w:val="ListParagraph"/>
              <w:numPr>
                <w:ilvl w:val="0"/>
                <w:numId w:val="7"/>
              </w:numPr>
              <w:rPr>
                <w:rFonts w:cs="Calibri"/>
                <w:szCs w:val="22"/>
              </w:rPr>
            </w:pPr>
            <w:r>
              <w:rPr>
                <w:rFonts w:cs="Calibri"/>
                <w:szCs w:val="22"/>
              </w:rPr>
              <w:t>Poor housing</w:t>
            </w:r>
          </w:p>
          <w:p w:rsidR="00181613" w:rsidRDefault="00181613" w:rsidP="00A12BCE">
            <w:pPr>
              <w:pStyle w:val="ListParagraph"/>
              <w:numPr>
                <w:ilvl w:val="0"/>
                <w:numId w:val="7"/>
              </w:numPr>
              <w:rPr>
                <w:rFonts w:cs="Calibri"/>
                <w:szCs w:val="22"/>
              </w:rPr>
            </w:pPr>
            <w:r>
              <w:rPr>
                <w:rFonts w:cs="Calibri"/>
                <w:szCs w:val="22"/>
              </w:rPr>
              <w:t>Poverty</w:t>
            </w:r>
          </w:p>
          <w:p w:rsidR="00181613" w:rsidRDefault="00181613" w:rsidP="00A12BCE">
            <w:pPr>
              <w:pStyle w:val="ListParagraph"/>
              <w:numPr>
                <w:ilvl w:val="0"/>
                <w:numId w:val="7"/>
              </w:numPr>
              <w:rPr>
                <w:rFonts w:cs="Calibri"/>
                <w:szCs w:val="22"/>
              </w:rPr>
            </w:pPr>
            <w:r>
              <w:rPr>
                <w:rFonts w:cs="Calibri"/>
                <w:szCs w:val="22"/>
              </w:rPr>
              <w:t>Overcrowding</w:t>
            </w:r>
          </w:p>
          <w:p w:rsidR="00181613" w:rsidRDefault="00181613" w:rsidP="00A12BCE">
            <w:pPr>
              <w:pStyle w:val="ListParagraph"/>
              <w:numPr>
                <w:ilvl w:val="0"/>
                <w:numId w:val="7"/>
              </w:numPr>
              <w:rPr>
                <w:rFonts w:cs="Calibri"/>
                <w:szCs w:val="22"/>
              </w:rPr>
            </w:pPr>
            <w:r>
              <w:rPr>
                <w:rFonts w:cs="Calibri"/>
                <w:szCs w:val="22"/>
              </w:rPr>
              <w:t>Occupational exclusion</w:t>
            </w:r>
          </w:p>
          <w:p w:rsidR="00181613" w:rsidRDefault="00181613" w:rsidP="00A12BCE">
            <w:pPr>
              <w:pStyle w:val="ListParagraph"/>
              <w:numPr>
                <w:ilvl w:val="0"/>
                <w:numId w:val="7"/>
              </w:numPr>
              <w:rPr>
                <w:rFonts w:cs="Calibri"/>
                <w:szCs w:val="22"/>
              </w:rPr>
            </w:pPr>
            <w:r>
              <w:rPr>
                <w:rFonts w:cs="Calibri"/>
                <w:szCs w:val="22"/>
              </w:rPr>
              <w:t>Social exclus</w:t>
            </w:r>
            <w:r w:rsidR="00C75316">
              <w:rPr>
                <w:rFonts w:cs="Calibri"/>
                <w:szCs w:val="22"/>
              </w:rPr>
              <w:t>ion</w:t>
            </w:r>
          </w:p>
          <w:p w:rsidR="00181613" w:rsidRDefault="00181613" w:rsidP="00A12BCE">
            <w:pPr>
              <w:pStyle w:val="ListParagraph"/>
              <w:numPr>
                <w:ilvl w:val="0"/>
                <w:numId w:val="7"/>
              </w:numPr>
              <w:rPr>
                <w:rFonts w:cs="Calibri"/>
                <w:szCs w:val="22"/>
              </w:rPr>
            </w:pPr>
            <w:r>
              <w:rPr>
                <w:rFonts w:cs="Calibri"/>
                <w:szCs w:val="22"/>
              </w:rPr>
              <w:t>Lack of material resources.</w:t>
            </w:r>
          </w:p>
          <w:p w:rsidR="00181613" w:rsidRPr="00DD14EC" w:rsidRDefault="00C75316" w:rsidP="00A12BCE">
            <w:pPr>
              <w:pStyle w:val="ListParagraph"/>
              <w:numPr>
                <w:ilvl w:val="0"/>
                <w:numId w:val="7"/>
              </w:numPr>
              <w:tabs>
                <w:tab w:val="left" w:pos="1080"/>
              </w:tabs>
              <w:rPr>
                <w:rFonts w:cs="Calibri"/>
                <w:szCs w:val="22"/>
              </w:rPr>
            </w:pPr>
            <w:r>
              <w:rPr>
                <w:rFonts w:cs="Calibri"/>
                <w:szCs w:val="22"/>
              </w:rPr>
              <w:t>Living in a hostile environment</w:t>
            </w:r>
          </w:p>
          <w:p w:rsidR="00181613" w:rsidRPr="00181613" w:rsidRDefault="00181613" w:rsidP="00181613">
            <w:pPr>
              <w:rPr>
                <w:rFonts w:cs="Calibri"/>
                <w:szCs w:val="22"/>
              </w:rPr>
            </w:pPr>
          </w:p>
          <w:p w:rsidR="00181613" w:rsidRPr="00541385" w:rsidRDefault="00181613" w:rsidP="00BD597E">
            <w:pPr>
              <w:pStyle w:val="ListParagraph"/>
              <w:ind w:left="360"/>
              <w:rPr>
                <w:rFonts w:cs="Calibri"/>
                <w:szCs w:val="22"/>
              </w:rPr>
            </w:pPr>
          </w:p>
        </w:tc>
        <w:tc>
          <w:tcPr>
            <w:tcW w:w="2551" w:type="dxa"/>
            <w:vMerge w:val="restart"/>
            <w:shd w:val="clear" w:color="auto" w:fill="auto"/>
          </w:tcPr>
          <w:p w:rsidR="00181613" w:rsidRDefault="00C75316" w:rsidP="00A12BCE">
            <w:pPr>
              <w:pStyle w:val="ListParagraph"/>
              <w:numPr>
                <w:ilvl w:val="0"/>
                <w:numId w:val="7"/>
              </w:numPr>
              <w:rPr>
                <w:rFonts w:cs="Calibri"/>
                <w:szCs w:val="22"/>
              </w:rPr>
            </w:pPr>
            <w:r>
              <w:rPr>
                <w:rFonts w:cs="Calibri"/>
                <w:szCs w:val="22"/>
              </w:rPr>
              <w:t>Abuse</w:t>
            </w:r>
          </w:p>
          <w:p w:rsidR="00181613" w:rsidRDefault="00C75316" w:rsidP="00A12BCE">
            <w:pPr>
              <w:pStyle w:val="ListParagraph"/>
              <w:numPr>
                <w:ilvl w:val="0"/>
                <w:numId w:val="7"/>
              </w:numPr>
              <w:rPr>
                <w:rFonts w:cs="Calibri"/>
                <w:szCs w:val="22"/>
              </w:rPr>
            </w:pPr>
            <w:r>
              <w:rPr>
                <w:rFonts w:cs="Calibri"/>
                <w:szCs w:val="22"/>
              </w:rPr>
              <w:t>Neglect</w:t>
            </w:r>
          </w:p>
          <w:p w:rsidR="00181613" w:rsidRDefault="00C75316" w:rsidP="00A12BCE">
            <w:pPr>
              <w:pStyle w:val="ListParagraph"/>
              <w:numPr>
                <w:ilvl w:val="0"/>
                <w:numId w:val="7"/>
              </w:numPr>
              <w:rPr>
                <w:rFonts w:cs="Calibri"/>
                <w:szCs w:val="22"/>
              </w:rPr>
            </w:pPr>
            <w:r>
              <w:rPr>
                <w:rFonts w:cs="Calibri"/>
                <w:szCs w:val="22"/>
              </w:rPr>
              <w:t>Violence</w:t>
            </w:r>
          </w:p>
          <w:p w:rsidR="00181613" w:rsidRDefault="00C75316" w:rsidP="00A12BCE">
            <w:pPr>
              <w:pStyle w:val="ListParagraph"/>
              <w:numPr>
                <w:ilvl w:val="0"/>
                <w:numId w:val="7"/>
              </w:numPr>
              <w:rPr>
                <w:rFonts w:cs="Calibri"/>
                <w:szCs w:val="22"/>
              </w:rPr>
            </w:pPr>
            <w:r>
              <w:rPr>
                <w:rFonts w:cs="Calibri"/>
                <w:szCs w:val="22"/>
              </w:rPr>
              <w:t>Trauma</w:t>
            </w:r>
          </w:p>
          <w:p w:rsidR="00181613" w:rsidRPr="00DD14EC" w:rsidRDefault="00181613" w:rsidP="00A12BCE">
            <w:pPr>
              <w:pStyle w:val="ListParagraph"/>
              <w:numPr>
                <w:ilvl w:val="0"/>
                <w:numId w:val="7"/>
              </w:numPr>
              <w:tabs>
                <w:tab w:val="left" w:pos="1260"/>
              </w:tabs>
              <w:rPr>
                <w:rFonts w:cs="Calibri"/>
                <w:szCs w:val="22"/>
              </w:rPr>
            </w:pPr>
            <w:r>
              <w:rPr>
                <w:rFonts w:cs="Calibri"/>
                <w:szCs w:val="22"/>
              </w:rPr>
              <w:t>A</w:t>
            </w:r>
            <w:r w:rsidRPr="00DD14EC">
              <w:rPr>
                <w:rFonts w:cs="Calibri"/>
                <w:szCs w:val="22"/>
              </w:rPr>
              <w:t>lienat</w:t>
            </w:r>
            <w:r>
              <w:rPr>
                <w:rFonts w:cs="Calibri"/>
                <w:szCs w:val="22"/>
              </w:rPr>
              <w:t>ion</w:t>
            </w:r>
            <w:r w:rsidRPr="00DD14EC">
              <w:rPr>
                <w:rFonts w:cs="Calibri"/>
                <w:szCs w:val="22"/>
              </w:rPr>
              <w:t xml:space="preserve"> from</w:t>
            </w:r>
            <w:r>
              <w:rPr>
                <w:rFonts w:cs="Calibri"/>
                <w:szCs w:val="22"/>
              </w:rPr>
              <w:t xml:space="preserve"> whānau,</w:t>
            </w:r>
            <w:r w:rsidRPr="00DD14EC">
              <w:rPr>
                <w:rFonts w:cs="Calibri"/>
                <w:szCs w:val="22"/>
              </w:rPr>
              <w:t xml:space="preserve"> family, </w:t>
            </w:r>
            <w:r w:rsidR="00C75316">
              <w:rPr>
                <w:rFonts w:cs="Calibri"/>
                <w:szCs w:val="22"/>
              </w:rPr>
              <w:t>friends and supports</w:t>
            </w:r>
          </w:p>
          <w:p w:rsidR="00181613" w:rsidRPr="00181613" w:rsidRDefault="00181613" w:rsidP="00181613">
            <w:pPr>
              <w:rPr>
                <w:rFonts w:cs="Calibri"/>
                <w:szCs w:val="22"/>
              </w:rPr>
            </w:pPr>
          </w:p>
          <w:p w:rsidR="00181613" w:rsidRPr="00050172" w:rsidRDefault="00181613" w:rsidP="00050172">
            <w:pPr>
              <w:rPr>
                <w:rFonts w:cs="Calibri"/>
                <w:szCs w:val="22"/>
              </w:rPr>
            </w:pPr>
          </w:p>
        </w:tc>
      </w:tr>
      <w:tr w:rsidR="00181613" w:rsidRPr="00D53D4F" w:rsidTr="00F23D64">
        <w:trPr>
          <w:trHeight w:val="557"/>
        </w:trPr>
        <w:tc>
          <w:tcPr>
            <w:tcW w:w="1842" w:type="dxa"/>
            <w:gridSpan w:val="2"/>
            <w:shd w:val="clear" w:color="auto" w:fill="FFFD99"/>
          </w:tcPr>
          <w:p w:rsidR="00181613" w:rsidRPr="00B77F3B" w:rsidRDefault="00181613" w:rsidP="00793ABD">
            <w:pPr>
              <w:rPr>
                <w:rFonts w:cs="Calibri"/>
                <w:b/>
                <w:szCs w:val="22"/>
              </w:rPr>
            </w:pPr>
            <w:r w:rsidRPr="00B77F3B">
              <w:rPr>
                <w:rFonts w:cs="Calibri"/>
                <w:b/>
                <w:szCs w:val="22"/>
              </w:rPr>
              <w:t>Supports and treatment</w:t>
            </w:r>
          </w:p>
        </w:tc>
        <w:tc>
          <w:tcPr>
            <w:tcW w:w="3261" w:type="dxa"/>
            <w:shd w:val="clear" w:color="auto" w:fill="9CFCFC"/>
          </w:tcPr>
          <w:p w:rsidR="00181613" w:rsidRPr="00B77F3B" w:rsidRDefault="00181613" w:rsidP="00B77F3B">
            <w:pPr>
              <w:rPr>
                <w:rFonts w:cs="Calibri"/>
                <w:b/>
                <w:szCs w:val="22"/>
              </w:rPr>
            </w:pPr>
            <w:r w:rsidRPr="00B77F3B">
              <w:rPr>
                <w:rFonts w:cs="Calibri"/>
                <w:b/>
                <w:szCs w:val="22"/>
              </w:rPr>
              <w:t>Cultural</w:t>
            </w:r>
          </w:p>
        </w:tc>
        <w:tc>
          <w:tcPr>
            <w:tcW w:w="2127" w:type="dxa"/>
            <w:vMerge/>
            <w:shd w:val="clear" w:color="auto" w:fill="auto"/>
          </w:tcPr>
          <w:p w:rsidR="00181613" w:rsidRPr="00793ABD" w:rsidRDefault="00181613" w:rsidP="00B77F3B">
            <w:pPr>
              <w:rPr>
                <w:rFonts w:cs="Calibri"/>
                <w:szCs w:val="22"/>
              </w:rPr>
            </w:pPr>
          </w:p>
        </w:tc>
        <w:tc>
          <w:tcPr>
            <w:tcW w:w="2551" w:type="dxa"/>
            <w:vMerge/>
            <w:shd w:val="clear" w:color="auto" w:fill="auto"/>
          </w:tcPr>
          <w:p w:rsidR="00181613" w:rsidRPr="00793ABD" w:rsidRDefault="00181613" w:rsidP="00793ABD">
            <w:pPr>
              <w:ind w:left="348"/>
              <w:rPr>
                <w:rFonts w:cs="Calibri"/>
                <w:szCs w:val="22"/>
              </w:rPr>
            </w:pPr>
          </w:p>
        </w:tc>
      </w:tr>
      <w:tr w:rsidR="00181613" w:rsidRPr="00D53D4F" w:rsidTr="00F23D64">
        <w:trPr>
          <w:trHeight w:val="557"/>
        </w:trPr>
        <w:tc>
          <w:tcPr>
            <w:tcW w:w="1842" w:type="dxa"/>
            <w:gridSpan w:val="2"/>
            <w:shd w:val="clear" w:color="auto" w:fill="auto"/>
          </w:tcPr>
          <w:p w:rsidR="00181613" w:rsidRPr="00E25C05" w:rsidRDefault="00181613" w:rsidP="00A12BCE">
            <w:pPr>
              <w:pStyle w:val="ListParagraph"/>
              <w:numPr>
                <w:ilvl w:val="0"/>
                <w:numId w:val="9"/>
              </w:numPr>
              <w:rPr>
                <w:rFonts w:ascii="Arial" w:hAnsi="Arial" w:cs="Arial"/>
                <w:b/>
                <w:sz w:val="20"/>
                <w:szCs w:val="20"/>
              </w:rPr>
            </w:pPr>
            <w:r>
              <w:rPr>
                <w:rFonts w:cs="Calibri"/>
                <w:szCs w:val="22"/>
              </w:rPr>
              <w:t>Inability</w:t>
            </w:r>
            <w:r w:rsidRPr="00E25C05">
              <w:rPr>
                <w:rFonts w:cs="Calibri"/>
                <w:szCs w:val="22"/>
              </w:rPr>
              <w:t xml:space="preserve"> of service providers to provide </w:t>
            </w:r>
            <w:r>
              <w:rPr>
                <w:rFonts w:cs="Calibri"/>
                <w:szCs w:val="22"/>
              </w:rPr>
              <w:t>helpful s</w:t>
            </w:r>
            <w:r w:rsidRPr="00E25C05">
              <w:rPr>
                <w:rFonts w:cs="Calibri"/>
                <w:szCs w:val="22"/>
              </w:rPr>
              <w:t>upport</w:t>
            </w:r>
            <w:r w:rsidR="00EF4C8C">
              <w:rPr>
                <w:rFonts w:cs="Calibri"/>
                <w:szCs w:val="22"/>
              </w:rPr>
              <w:t>, treatment</w:t>
            </w:r>
            <w:r>
              <w:rPr>
                <w:rFonts w:cs="Calibri"/>
                <w:szCs w:val="22"/>
              </w:rPr>
              <w:t xml:space="preserve"> and interventions</w:t>
            </w:r>
          </w:p>
          <w:p w:rsidR="00181613" w:rsidRPr="00181613" w:rsidRDefault="00181613" w:rsidP="00181613">
            <w:pPr>
              <w:rPr>
                <w:rFonts w:cs="Calibri"/>
                <w:szCs w:val="22"/>
              </w:rPr>
            </w:pPr>
          </w:p>
        </w:tc>
        <w:tc>
          <w:tcPr>
            <w:tcW w:w="3261" w:type="dxa"/>
            <w:shd w:val="clear" w:color="auto" w:fill="auto"/>
          </w:tcPr>
          <w:p w:rsidR="00181613" w:rsidRDefault="00181613" w:rsidP="00A12BCE">
            <w:pPr>
              <w:pStyle w:val="ListParagraph"/>
              <w:numPr>
                <w:ilvl w:val="0"/>
                <w:numId w:val="8"/>
              </w:numPr>
              <w:rPr>
                <w:rFonts w:cs="Calibri"/>
                <w:szCs w:val="22"/>
              </w:rPr>
            </w:pPr>
            <w:r>
              <w:rPr>
                <w:rFonts w:cs="Calibri"/>
                <w:szCs w:val="22"/>
              </w:rPr>
              <w:t>Language barrier.</w:t>
            </w:r>
          </w:p>
          <w:p w:rsidR="00181613" w:rsidRDefault="00181613" w:rsidP="00A12BCE">
            <w:pPr>
              <w:pStyle w:val="ListParagraph"/>
              <w:numPr>
                <w:ilvl w:val="0"/>
                <w:numId w:val="8"/>
              </w:numPr>
              <w:rPr>
                <w:rFonts w:cs="Calibri"/>
                <w:szCs w:val="22"/>
              </w:rPr>
            </w:pPr>
            <w:r>
              <w:rPr>
                <w:rFonts w:cs="Calibri"/>
                <w:szCs w:val="22"/>
              </w:rPr>
              <w:t>Discrimination.</w:t>
            </w:r>
          </w:p>
          <w:p w:rsidR="00181613" w:rsidRDefault="00181613" w:rsidP="00A12BCE">
            <w:pPr>
              <w:pStyle w:val="ListParagraph"/>
              <w:numPr>
                <w:ilvl w:val="0"/>
                <w:numId w:val="8"/>
              </w:numPr>
              <w:rPr>
                <w:rFonts w:cs="Calibri"/>
                <w:szCs w:val="22"/>
              </w:rPr>
            </w:pPr>
            <w:r>
              <w:rPr>
                <w:rFonts w:cs="Calibri"/>
                <w:szCs w:val="22"/>
              </w:rPr>
              <w:t>Prejudice.</w:t>
            </w:r>
          </w:p>
          <w:p w:rsidR="00181613" w:rsidRDefault="00181613" w:rsidP="00A12BCE">
            <w:pPr>
              <w:pStyle w:val="ListParagraph"/>
              <w:numPr>
                <w:ilvl w:val="0"/>
                <w:numId w:val="8"/>
              </w:numPr>
              <w:rPr>
                <w:rFonts w:cs="Calibri"/>
                <w:szCs w:val="22"/>
              </w:rPr>
            </w:pPr>
            <w:r>
              <w:rPr>
                <w:rFonts w:cs="Calibri"/>
                <w:szCs w:val="22"/>
              </w:rPr>
              <w:t>Cultural isolation.</w:t>
            </w:r>
          </w:p>
          <w:p w:rsidR="00181613" w:rsidRDefault="00181613" w:rsidP="00A12BCE">
            <w:pPr>
              <w:pStyle w:val="ListParagraph"/>
              <w:numPr>
                <w:ilvl w:val="0"/>
                <w:numId w:val="8"/>
              </w:numPr>
              <w:rPr>
                <w:rFonts w:cs="Calibri"/>
                <w:szCs w:val="22"/>
              </w:rPr>
            </w:pPr>
            <w:r>
              <w:rPr>
                <w:rFonts w:cs="Calibri"/>
                <w:szCs w:val="22"/>
              </w:rPr>
              <w:t>Racism.</w:t>
            </w:r>
          </w:p>
          <w:p w:rsidR="00181613" w:rsidRDefault="00181613" w:rsidP="00A12BCE">
            <w:pPr>
              <w:pStyle w:val="ListParagraph"/>
              <w:numPr>
                <w:ilvl w:val="0"/>
                <w:numId w:val="8"/>
              </w:numPr>
              <w:rPr>
                <w:rFonts w:cs="Calibri"/>
                <w:szCs w:val="22"/>
              </w:rPr>
            </w:pPr>
            <w:r>
              <w:rPr>
                <w:rFonts w:cs="Calibri"/>
                <w:szCs w:val="22"/>
              </w:rPr>
              <w:t>Stigma.</w:t>
            </w:r>
          </w:p>
          <w:p w:rsidR="00181613" w:rsidRPr="00B77F3B" w:rsidRDefault="00181613" w:rsidP="00A12BCE">
            <w:pPr>
              <w:pStyle w:val="ListParagraph"/>
              <w:numPr>
                <w:ilvl w:val="0"/>
                <w:numId w:val="8"/>
              </w:numPr>
              <w:rPr>
                <w:rFonts w:cs="Calibri"/>
                <w:szCs w:val="22"/>
              </w:rPr>
            </w:pPr>
            <w:r>
              <w:rPr>
                <w:rFonts w:cs="Calibri"/>
                <w:szCs w:val="22"/>
              </w:rPr>
              <w:t>Trauma.</w:t>
            </w:r>
          </w:p>
        </w:tc>
        <w:tc>
          <w:tcPr>
            <w:tcW w:w="2127" w:type="dxa"/>
            <w:vMerge/>
            <w:shd w:val="clear" w:color="auto" w:fill="auto"/>
          </w:tcPr>
          <w:p w:rsidR="00181613" w:rsidRPr="00793ABD" w:rsidRDefault="00181613" w:rsidP="00793ABD">
            <w:pPr>
              <w:ind w:left="348"/>
              <w:rPr>
                <w:rFonts w:cs="Calibri"/>
                <w:szCs w:val="22"/>
              </w:rPr>
            </w:pPr>
          </w:p>
        </w:tc>
        <w:tc>
          <w:tcPr>
            <w:tcW w:w="2551" w:type="dxa"/>
            <w:vMerge/>
            <w:shd w:val="clear" w:color="auto" w:fill="auto"/>
          </w:tcPr>
          <w:p w:rsidR="00181613" w:rsidRPr="00793ABD" w:rsidRDefault="00181613" w:rsidP="00793ABD">
            <w:pPr>
              <w:ind w:left="348"/>
              <w:rPr>
                <w:rFonts w:cs="Calibri"/>
                <w:szCs w:val="22"/>
              </w:rPr>
            </w:pPr>
          </w:p>
        </w:tc>
      </w:tr>
    </w:tbl>
    <w:p w:rsidR="007D6A80" w:rsidRDefault="007D6A80"/>
    <w:p w:rsidR="007D6A80" w:rsidRDefault="007D6A80"/>
    <w:p w:rsidR="007D6A80" w:rsidRDefault="007D6A80"/>
    <w:p w:rsidR="007D6A80" w:rsidRDefault="007D6A80"/>
    <w:p w:rsidR="007D6A80" w:rsidRDefault="007D6A80"/>
    <w:p w:rsidR="007D6A80" w:rsidRDefault="007D6A80"/>
    <w:p w:rsidR="007D6A80" w:rsidRDefault="007D6A80"/>
    <w:p w:rsidR="007D6A80" w:rsidRDefault="007D6A80"/>
    <w:p w:rsidR="007D6A80" w:rsidRDefault="007D6A80"/>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2694"/>
        <w:gridCol w:w="2551"/>
      </w:tblGrid>
      <w:tr w:rsidR="00F334F8" w:rsidRPr="00D53D4F" w:rsidTr="0034248E">
        <w:trPr>
          <w:trHeight w:val="557"/>
        </w:trPr>
        <w:tc>
          <w:tcPr>
            <w:tcW w:w="9781" w:type="dxa"/>
            <w:gridSpan w:val="4"/>
            <w:shd w:val="clear" w:color="auto" w:fill="F2F2F2" w:themeFill="background1" w:themeFillShade="F2"/>
          </w:tcPr>
          <w:p w:rsidR="00F334F8" w:rsidRPr="00BD597E" w:rsidRDefault="00FF0578" w:rsidP="00162E20">
            <w:pPr>
              <w:rPr>
                <w:rFonts w:cs="Calibri"/>
                <w:b/>
                <w:szCs w:val="22"/>
              </w:rPr>
            </w:pPr>
            <w:r>
              <w:rPr>
                <w:rFonts w:cs="Calibri"/>
                <w:b/>
                <w:szCs w:val="22"/>
              </w:rPr>
              <w:t xml:space="preserve">We acknowledge and support </w:t>
            </w:r>
            <w:r w:rsidR="00F334F8" w:rsidRPr="00BD597E">
              <w:rPr>
                <w:rFonts w:cs="Calibri"/>
                <w:b/>
                <w:szCs w:val="22"/>
              </w:rPr>
              <w:t>the recovery capital</w:t>
            </w:r>
            <w:r w:rsidR="00010B06">
              <w:rPr>
                <w:rFonts w:cs="Calibri"/>
                <w:b/>
                <w:szCs w:val="22"/>
              </w:rPr>
              <w:t xml:space="preserve">/strength </w:t>
            </w:r>
            <w:r w:rsidR="00162E20">
              <w:rPr>
                <w:rFonts w:cs="Calibri"/>
                <w:b/>
                <w:szCs w:val="22"/>
              </w:rPr>
              <w:t xml:space="preserve">that support </w:t>
            </w:r>
            <w:r w:rsidR="00BD597E" w:rsidRPr="00BD597E">
              <w:rPr>
                <w:rFonts w:cs="Calibri"/>
                <w:b/>
                <w:szCs w:val="22"/>
              </w:rPr>
              <w:t>tā</w:t>
            </w:r>
            <w:r w:rsidR="00010B06">
              <w:rPr>
                <w:rFonts w:cs="Calibri"/>
                <w:b/>
                <w:szCs w:val="22"/>
              </w:rPr>
              <w:t>ngata whai ora/tāngata whaikaha safety</w:t>
            </w:r>
            <w:r w:rsidR="00162E20">
              <w:rPr>
                <w:rFonts w:cs="Calibri"/>
                <w:b/>
                <w:szCs w:val="22"/>
              </w:rPr>
              <w:t xml:space="preserve"> and wellbeing</w:t>
            </w:r>
            <w:r w:rsidR="00010B06">
              <w:rPr>
                <w:rFonts w:cs="Calibri"/>
                <w:b/>
                <w:szCs w:val="22"/>
              </w:rPr>
              <w:t xml:space="preserve">. </w:t>
            </w:r>
            <w:r w:rsidR="00181613">
              <w:rPr>
                <w:rFonts w:cs="Calibri"/>
                <w:b/>
                <w:szCs w:val="22"/>
              </w:rPr>
              <w:t xml:space="preserve"> For example:</w:t>
            </w:r>
          </w:p>
        </w:tc>
      </w:tr>
      <w:tr w:rsidR="00181613" w:rsidRPr="00D53D4F" w:rsidTr="00C25DDD">
        <w:trPr>
          <w:trHeight w:val="557"/>
        </w:trPr>
        <w:tc>
          <w:tcPr>
            <w:tcW w:w="2127" w:type="dxa"/>
            <w:shd w:val="clear" w:color="auto" w:fill="DEEAF6" w:themeFill="accent1" w:themeFillTint="33"/>
          </w:tcPr>
          <w:p w:rsidR="00181613" w:rsidRDefault="00BB2892" w:rsidP="00F55503">
            <w:pPr>
              <w:rPr>
                <w:rFonts w:cs="Calibri"/>
                <w:szCs w:val="22"/>
              </w:rPr>
            </w:pPr>
            <w:r>
              <w:rPr>
                <w:rFonts w:cs="Calibri"/>
                <w:szCs w:val="22"/>
              </w:rPr>
              <w:t>Support networks</w:t>
            </w:r>
          </w:p>
        </w:tc>
        <w:tc>
          <w:tcPr>
            <w:tcW w:w="2409" w:type="dxa"/>
            <w:shd w:val="clear" w:color="auto" w:fill="FFE599" w:themeFill="accent4" w:themeFillTint="66"/>
          </w:tcPr>
          <w:p w:rsidR="00181613" w:rsidRDefault="00BB2892" w:rsidP="003A7524">
            <w:pPr>
              <w:rPr>
                <w:rFonts w:cs="Calibri"/>
                <w:szCs w:val="22"/>
              </w:rPr>
            </w:pPr>
            <w:r>
              <w:rPr>
                <w:rFonts w:cs="Calibri"/>
                <w:szCs w:val="22"/>
              </w:rPr>
              <w:t>Family/whānau</w:t>
            </w:r>
          </w:p>
        </w:tc>
        <w:tc>
          <w:tcPr>
            <w:tcW w:w="2694" w:type="dxa"/>
            <w:shd w:val="clear" w:color="auto" w:fill="D0CECE" w:themeFill="background2" w:themeFillShade="E6"/>
          </w:tcPr>
          <w:p w:rsidR="00181613" w:rsidRDefault="00BB2892" w:rsidP="003A7524">
            <w:pPr>
              <w:rPr>
                <w:rFonts w:cs="Calibri"/>
                <w:szCs w:val="22"/>
              </w:rPr>
            </w:pPr>
            <w:r>
              <w:rPr>
                <w:rFonts w:cs="Calibri"/>
                <w:szCs w:val="22"/>
              </w:rPr>
              <w:t>Spirituality</w:t>
            </w:r>
          </w:p>
        </w:tc>
        <w:tc>
          <w:tcPr>
            <w:tcW w:w="2551" w:type="dxa"/>
            <w:shd w:val="clear" w:color="auto" w:fill="BF95DF"/>
          </w:tcPr>
          <w:p w:rsidR="00181613" w:rsidRDefault="00010B06" w:rsidP="003A7524">
            <w:pPr>
              <w:rPr>
                <w:rFonts w:cs="Calibri"/>
                <w:szCs w:val="22"/>
              </w:rPr>
            </w:pPr>
            <w:r>
              <w:rPr>
                <w:rFonts w:cs="Calibri"/>
                <w:szCs w:val="22"/>
              </w:rPr>
              <w:t>Financial health</w:t>
            </w:r>
          </w:p>
        </w:tc>
      </w:tr>
      <w:tr w:rsidR="00F55503" w:rsidRPr="00D53D4F" w:rsidTr="00C25DDD">
        <w:trPr>
          <w:trHeight w:val="557"/>
        </w:trPr>
        <w:tc>
          <w:tcPr>
            <w:tcW w:w="2127" w:type="dxa"/>
            <w:shd w:val="clear" w:color="auto" w:fill="FBE4D5" w:themeFill="accent2" w:themeFillTint="33"/>
          </w:tcPr>
          <w:p w:rsidR="00F55503" w:rsidRDefault="00F55503" w:rsidP="00F55503">
            <w:pPr>
              <w:rPr>
                <w:rFonts w:cs="Calibri"/>
                <w:szCs w:val="22"/>
              </w:rPr>
            </w:pPr>
            <w:r>
              <w:rPr>
                <w:rFonts w:cs="Calibri"/>
                <w:szCs w:val="22"/>
              </w:rPr>
              <w:t>Leisure</w:t>
            </w:r>
          </w:p>
        </w:tc>
        <w:tc>
          <w:tcPr>
            <w:tcW w:w="2409" w:type="dxa"/>
            <w:shd w:val="clear" w:color="auto" w:fill="DEEAF6" w:themeFill="accent1" w:themeFillTint="33"/>
          </w:tcPr>
          <w:p w:rsidR="00F55503" w:rsidRDefault="00F55503" w:rsidP="003A7524">
            <w:pPr>
              <w:rPr>
                <w:rFonts w:cs="Calibri"/>
                <w:szCs w:val="22"/>
              </w:rPr>
            </w:pPr>
            <w:r>
              <w:rPr>
                <w:rFonts w:cs="Calibri"/>
                <w:szCs w:val="22"/>
              </w:rPr>
              <w:t xml:space="preserve">Role </w:t>
            </w:r>
          </w:p>
        </w:tc>
        <w:tc>
          <w:tcPr>
            <w:tcW w:w="2694" w:type="dxa"/>
            <w:shd w:val="clear" w:color="auto" w:fill="FFE599" w:themeFill="accent4" w:themeFillTint="66"/>
          </w:tcPr>
          <w:p w:rsidR="00F55503" w:rsidRDefault="00F55503" w:rsidP="003A7524">
            <w:pPr>
              <w:rPr>
                <w:rFonts w:cs="Calibri"/>
                <w:szCs w:val="22"/>
              </w:rPr>
            </w:pPr>
            <w:r>
              <w:rPr>
                <w:rFonts w:cs="Calibri"/>
                <w:szCs w:val="22"/>
              </w:rPr>
              <w:t>Identity</w:t>
            </w:r>
          </w:p>
        </w:tc>
        <w:tc>
          <w:tcPr>
            <w:tcW w:w="2551" w:type="dxa"/>
            <w:shd w:val="clear" w:color="auto" w:fill="D0CECE" w:themeFill="background2" w:themeFillShade="E6"/>
          </w:tcPr>
          <w:p w:rsidR="00F55503" w:rsidRDefault="00F55503" w:rsidP="006720DB">
            <w:pPr>
              <w:rPr>
                <w:rFonts w:cs="Calibri"/>
                <w:szCs w:val="22"/>
              </w:rPr>
            </w:pPr>
            <w:r>
              <w:rPr>
                <w:rFonts w:cs="Calibri"/>
                <w:szCs w:val="22"/>
              </w:rPr>
              <w:t>Citizenship participation</w:t>
            </w:r>
          </w:p>
        </w:tc>
      </w:tr>
      <w:tr w:rsidR="00BB2892" w:rsidRPr="00D53D4F" w:rsidTr="00C25DDD">
        <w:trPr>
          <w:trHeight w:val="557"/>
        </w:trPr>
        <w:tc>
          <w:tcPr>
            <w:tcW w:w="2127" w:type="dxa"/>
            <w:shd w:val="clear" w:color="auto" w:fill="FFF2CC" w:themeFill="accent4" w:themeFillTint="33"/>
          </w:tcPr>
          <w:p w:rsidR="00BB2892" w:rsidRDefault="00BB2892" w:rsidP="003A7524">
            <w:pPr>
              <w:rPr>
                <w:rFonts w:cs="Calibri"/>
                <w:szCs w:val="22"/>
              </w:rPr>
            </w:pPr>
            <w:r>
              <w:rPr>
                <w:rFonts w:cs="Calibri"/>
                <w:szCs w:val="22"/>
              </w:rPr>
              <w:t>Workplace</w:t>
            </w:r>
          </w:p>
        </w:tc>
        <w:tc>
          <w:tcPr>
            <w:tcW w:w="2409" w:type="dxa"/>
            <w:shd w:val="clear" w:color="auto" w:fill="FBE4D5" w:themeFill="accent2" w:themeFillTint="33"/>
          </w:tcPr>
          <w:p w:rsidR="00BB2892" w:rsidRDefault="00BB2892" w:rsidP="003A7524">
            <w:pPr>
              <w:rPr>
                <w:rFonts w:cs="Calibri"/>
                <w:szCs w:val="22"/>
              </w:rPr>
            </w:pPr>
            <w:r>
              <w:rPr>
                <w:rFonts w:cs="Calibri"/>
                <w:szCs w:val="22"/>
              </w:rPr>
              <w:t>Partner</w:t>
            </w:r>
          </w:p>
        </w:tc>
        <w:tc>
          <w:tcPr>
            <w:tcW w:w="2694" w:type="dxa"/>
            <w:shd w:val="clear" w:color="auto" w:fill="DEEAF6" w:themeFill="accent1" w:themeFillTint="33"/>
          </w:tcPr>
          <w:p w:rsidR="00BB2892" w:rsidRDefault="00BB2892" w:rsidP="003A7524">
            <w:pPr>
              <w:rPr>
                <w:rFonts w:cs="Calibri"/>
                <w:szCs w:val="22"/>
              </w:rPr>
            </w:pPr>
            <w:r>
              <w:rPr>
                <w:rFonts w:cs="Calibri"/>
                <w:szCs w:val="22"/>
              </w:rPr>
              <w:t>Attitude</w:t>
            </w:r>
          </w:p>
        </w:tc>
        <w:tc>
          <w:tcPr>
            <w:tcW w:w="2551" w:type="dxa"/>
            <w:shd w:val="clear" w:color="auto" w:fill="FFE599" w:themeFill="accent4" w:themeFillTint="66"/>
          </w:tcPr>
          <w:p w:rsidR="00BB2892" w:rsidRDefault="00010B06" w:rsidP="003A7524">
            <w:pPr>
              <w:rPr>
                <w:rFonts w:cs="Calibri"/>
                <w:szCs w:val="22"/>
              </w:rPr>
            </w:pPr>
            <w:r>
              <w:rPr>
                <w:rFonts w:cs="Calibri"/>
                <w:szCs w:val="22"/>
              </w:rPr>
              <w:t>Housing/Shelter</w:t>
            </w:r>
          </w:p>
        </w:tc>
      </w:tr>
      <w:tr w:rsidR="00BB2892" w:rsidRPr="00D53D4F" w:rsidTr="00C25DDD">
        <w:trPr>
          <w:trHeight w:val="557"/>
        </w:trPr>
        <w:tc>
          <w:tcPr>
            <w:tcW w:w="2127" w:type="dxa"/>
            <w:shd w:val="clear" w:color="auto" w:fill="E2EFD9" w:themeFill="accent6" w:themeFillTint="33"/>
          </w:tcPr>
          <w:p w:rsidR="00BB2892" w:rsidRDefault="00BB2892" w:rsidP="003A7524">
            <w:pPr>
              <w:rPr>
                <w:rFonts w:cs="Calibri"/>
                <w:szCs w:val="22"/>
              </w:rPr>
            </w:pPr>
            <w:r>
              <w:rPr>
                <w:rFonts w:cs="Calibri"/>
                <w:szCs w:val="22"/>
              </w:rPr>
              <w:t>Skills</w:t>
            </w:r>
          </w:p>
        </w:tc>
        <w:tc>
          <w:tcPr>
            <w:tcW w:w="2409" w:type="dxa"/>
            <w:shd w:val="clear" w:color="auto" w:fill="FFF2CC" w:themeFill="accent4" w:themeFillTint="33"/>
          </w:tcPr>
          <w:p w:rsidR="00BB2892" w:rsidRDefault="00BB2892" w:rsidP="003A7524">
            <w:pPr>
              <w:rPr>
                <w:rFonts w:cs="Calibri"/>
                <w:szCs w:val="22"/>
              </w:rPr>
            </w:pPr>
            <w:r>
              <w:rPr>
                <w:rFonts w:cs="Calibri"/>
                <w:szCs w:val="22"/>
              </w:rPr>
              <w:t>Peer support</w:t>
            </w:r>
          </w:p>
        </w:tc>
        <w:tc>
          <w:tcPr>
            <w:tcW w:w="2694" w:type="dxa"/>
            <w:shd w:val="clear" w:color="auto" w:fill="FBE4D5" w:themeFill="accent2" w:themeFillTint="33"/>
          </w:tcPr>
          <w:p w:rsidR="00BB2892" w:rsidRDefault="00BB2892" w:rsidP="003A7524">
            <w:pPr>
              <w:rPr>
                <w:rFonts w:cs="Calibri"/>
                <w:szCs w:val="22"/>
              </w:rPr>
            </w:pPr>
            <w:r>
              <w:rPr>
                <w:rFonts w:cs="Calibri"/>
                <w:szCs w:val="22"/>
              </w:rPr>
              <w:t>Self-awareness</w:t>
            </w:r>
          </w:p>
        </w:tc>
        <w:tc>
          <w:tcPr>
            <w:tcW w:w="2551" w:type="dxa"/>
            <w:shd w:val="clear" w:color="auto" w:fill="DEEAF6" w:themeFill="accent1" w:themeFillTint="33"/>
          </w:tcPr>
          <w:p w:rsidR="00BB2892" w:rsidRDefault="00010B06" w:rsidP="003A7524">
            <w:pPr>
              <w:rPr>
                <w:rFonts w:cs="Calibri"/>
                <w:szCs w:val="22"/>
              </w:rPr>
            </w:pPr>
            <w:r>
              <w:rPr>
                <w:rFonts w:cs="Calibri"/>
                <w:szCs w:val="22"/>
              </w:rPr>
              <w:t>Employment</w:t>
            </w:r>
          </w:p>
        </w:tc>
      </w:tr>
      <w:tr w:rsidR="00BB2892" w:rsidRPr="00D53D4F" w:rsidTr="00C25DDD">
        <w:trPr>
          <w:trHeight w:val="557"/>
        </w:trPr>
        <w:tc>
          <w:tcPr>
            <w:tcW w:w="2127" w:type="dxa"/>
            <w:shd w:val="clear" w:color="auto" w:fill="FFFCC9"/>
          </w:tcPr>
          <w:p w:rsidR="00BB2892" w:rsidRDefault="00BB2892" w:rsidP="003A7524">
            <w:pPr>
              <w:rPr>
                <w:rFonts w:cs="Calibri"/>
                <w:szCs w:val="22"/>
              </w:rPr>
            </w:pPr>
            <w:r>
              <w:rPr>
                <w:rFonts w:cs="Calibri"/>
                <w:szCs w:val="22"/>
              </w:rPr>
              <w:t>Education</w:t>
            </w:r>
          </w:p>
        </w:tc>
        <w:tc>
          <w:tcPr>
            <w:tcW w:w="2409" w:type="dxa"/>
            <w:shd w:val="clear" w:color="auto" w:fill="E2EFD9" w:themeFill="accent6" w:themeFillTint="33"/>
          </w:tcPr>
          <w:p w:rsidR="00BB2892" w:rsidRDefault="00010B06" w:rsidP="003A7524">
            <w:pPr>
              <w:rPr>
                <w:rFonts w:cs="Calibri"/>
                <w:szCs w:val="22"/>
              </w:rPr>
            </w:pPr>
            <w:r>
              <w:rPr>
                <w:rFonts w:cs="Calibri"/>
                <w:szCs w:val="22"/>
              </w:rPr>
              <w:t>Belonging</w:t>
            </w:r>
          </w:p>
        </w:tc>
        <w:tc>
          <w:tcPr>
            <w:tcW w:w="2694" w:type="dxa"/>
            <w:shd w:val="clear" w:color="auto" w:fill="FFF2CC" w:themeFill="accent4" w:themeFillTint="33"/>
          </w:tcPr>
          <w:p w:rsidR="00BB2892" w:rsidRDefault="00BB2892" w:rsidP="003A7524">
            <w:pPr>
              <w:rPr>
                <w:rFonts w:cs="Calibri"/>
                <w:szCs w:val="22"/>
              </w:rPr>
            </w:pPr>
            <w:r>
              <w:rPr>
                <w:rFonts w:cs="Calibri"/>
                <w:szCs w:val="22"/>
              </w:rPr>
              <w:t>Values</w:t>
            </w:r>
          </w:p>
        </w:tc>
        <w:tc>
          <w:tcPr>
            <w:tcW w:w="2551" w:type="dxa"/>
            <w:shd w:val="clear" w:color="auto" w:fill="FBE4D5" w:themeFill="accent2" w:themeFillTint="33"/>
          </w:tcPr>
          <w:p w:rsidR="00BB2892" w:rsidRDefault="00010B06" w:rsidP="003A7524">
            <w:pPr>
              <w:rPr>
                <w:rFonts w:cs="Calibri"/>
                <w:szCs w:val="22"/>
              </w:rPr>
            </w:pPr>
            <w:r>
              <w:rPr>
                <w:rFonts w:cs="Calibri"/>
                <w:szCs w:val="22"/>
              </w:rPr>
              <w:t>Study</w:t>
            </w:r>
          </w:p>
        </w:tc>
      </w:tr>
      <w:tr w:rsidR="00BB2892" w:rsidRPr="00D53D4F" w:rsidTr="00C25DDD">
        <w:trPr>
          <w:trHeight w:val="557"/>
        </w:trPr>
        <w:tc>
          <w:tcPr>
            <w:tcW w:w="2127" w:type="dxa"/>
            <w:shd w:val="clear" w:color="auto" w:fill="CAFCFE"/>
          </w:tcPr>
          <w:p w:rsidR="00BB2892" w:rsidRDefault="00F55503" w:rsidP="003A7524">
            <w:pPr>
              <w:rPr>
                <w:rFonts w:cs="Calibri"/>
                <w:szCs w:val="22"/>
              </w:rPr>
            </w:pPr>
            <w:r>
              <w:rPr>
                <w:rFonts w:cs="Calibri"/>
                <w:szCs w:val="22"/>
              </w:rPr>
              <w:t>Social activities</w:t>
            </w:r>
          </w:p>
        </w:tc>
        <w:tc>
          <w:tcPr>
            <w:tcW w:w="2409" w:type="dxa"/>
            <w:shd w:val="clear" w:color="auto" w:fill="FFFCC9"/>
          </w:tcPr>
          <w:p w:rsidR="00BB2892" w:rsidRDefault="00010B06" w:rsidP="003A7524">
            <w:pPr>
              <w:rPr>
                <w:rFonts w:cs="Calibri"/>
                <w:szCs w:val="22"/>
              </w:rPr>
            </w:pPr>
            <w:r>
              <w:rPr>
                <w:rFonts w:cs="Calibri"/>
                <w:szCs w:val="22"/>
              </w:rPr>
              <w:t>Coping strategies</w:t>
            </w:r>
          </w:p>
        </w:tc>
        <w:tc>
          <w:tcPr>
            <w:tcW w:w="2694" w:type="dxa"/>
            <w:shd w:val="clear" w:color="auto" w:fill="E2EFD9" w:themeFill="accent6" w:themeFillTint="33"/>
          </w:tcPr>
          <w:p w:rsidR="00BB2892" w:rsidRDefault="00010B06" w:rsidP="003A7524">
            <w:pPr>
              <w:rPr>
                <w:rFonts w:cs="Calibri"/>
                <w:szCs w:val="22"/>
              </w:rPr>
            </w:pPr>
            <w:r>
              <w:rPr>
                <w:rFonts w:cs="Calibri"/>
                <w:szCs w:val="22"/>
              </w:rPr>
              <w:t>Faith</w:t>
            </w:r>
          </w:p>
        </w:tc>
        <w:tc>
          <w:tcPr>
            <w:tcW w:w="2551" w:type="dxa"/>
            <w:shd w:val="clear" w:color="auto" w:fill="FFF2CC" w:themeFill="accent4" w:themeFillTint="33"/>
          </w:tcPr>
          <w:p w:rsidR="00BB2892" w:rsidRDefault="00F55503" w:rsidP="003A7524">
            <w:pPr>
              <w:rPr>
                <w:rFonts w:cs="Calibri"/>
                <w:szCs w:val="22"/>
              </w:rPr>
            </w:pPr>
            <w:r>
              <w:rPr>
                <w:rFonts w:cs="Calibri"/>
                <w:szCs w:val="22"/>
              </w:rPr>
              <w:t>Cultural activities</w:t>
            </w:r>
          </w:p>
        </w:tc>
      </w:tr>
      <w:tr w:rsidR="00BB2892" w:rsidRPr="00D53D4F" w:rsidTr="00C25DDD">
        <w:trPr>
          <w:trHeight w:val="557"/>
        </w:trPr>
        <w:tc>
          <w:tcPr>
            <w:tcW w:w="2127" w:type="dxa"/>
            <w:shd w:val="clear" w:color="auto" w:fill="9DFD87"/>
          </w:tcPr>
          <w:p w:rsidR="00BB2892" w:rsidRDefault="00F55503" w:rsidP="003A7524">
            <w:pPr>
              <w:rPr>
                <w:rFonts w:cs="Calibri"/>
                <w:szCs w:val="22"/>
              </w:rPr>
            </w:pPr>
            <w:r>
              <w:rPr>
                <w:rFonts w:cs="Calibri"/>
                <w:szCs w:val="22"/>
              </w:rPr>
              <w:t>Faith groups</w:t>
            </w:r>
          </w:p>
        </w:tc>
        <w:tc>
          <w:tcPr>
            <w:tcW w:w="2409" w:type="dxa"/>
            <w:shd w:val="clear" w:color="auto" w:fill="CAFCFE"/>
          </w:tcPr>
          <w:p w:rsidR="00BB2892" w:rsidRDefault="00F55503" w:rsidP="003A7524">
            <w:pPr>
              <w:rPr>
                <w:rFonts w:cs="Calibri"/>
                <w:szCs w:val="22"/>
              </w:rPr>
            </w:pPr>
            <w:r>
              <w:rPr>
                <w:rFonts w:cs="Calibri"/>
                <w:szCs w:val="22"/>
              </w:rPr>
              <w:t>Community attitudes</w:t>
            </w:r>
          </w:p>
        </w:tc>
        <w:tc>
          <w:tcPr>
            <w:tcW w:w="2694" w:type="dxa"/>
            <w:shd w:val="clear" w:color="auto" w:fill="FFFCC9"/>
          </w:tcPr>
          <w:p w:rsidR="00BB2892" w:rsidRDefault="00F55503" w:rsidP="003A7524">
            <w:pPr>
              <w:rPr>
                <w:rFonts w:cs="Calibri"/>
                <w:szCs w:val="22"/>
              </w:rPr>
            </w:pPr>
            <w:r>
              <w:rPr>
                <w:rFonts w:cs="Calibri"/>
                <w:szCs w:val="22"/>
              </w:rPr>
              <w:t>Local recov</w:t>
            </w:r>
            <w:r w:rsidRPr="00D20E77">
              <w:rPr>
                <w:rFonts w:cs="Calibri"/>
                <w:szCs w:val="22"/>
                <w:shd w:val="clear" w:color="auto" w:fill="FFFCC9"/>
              </w:rPr>
              <w:t>ery community</w:t>
            </w:r>
          </w:p>
        </w:tc>
        <w:tc>
          <w:tcPr>
            <w:tcW w:w="2551" w:type="dxa"/>
            <w:shd w:val="clear" w:color="auto" w:fill="E2EFD9" w:themeFill="accent6" w:themeFillTint="33"/>
          </w:tcPr>
          <w:p w:rsidR="00BB2892" w:rsidRDefault="00F55503" w:rsidP="003A7524">
            <w:pPr>
              <w:rPr>
                <w:rFonts w:cs="Calibri"/>
                <w:szCs w:val="22"/>
              </w:rPr>
            </w:pPr>
            <w:r>
              <w:rPr>
                <w:rFonts w:cs="Calibri"/>
                <w:szCs w:val="22"/>
              </w:rPr>
              <w:t>Community activity</w:t>
            </w:r>
          </w:p>
        </w:tc>
      </w:tr>
      <w:tr w:rsidR="00BB2892" w:rsidRPr="00D53D4F" w:rsidTr="00C25DDD">
        <w:trPr>
          <w:trHeight w:val="557"/>
        </w:trPr>
        <w:tc>
          <w:tcPr>
            <w:tcW w:w="2127" w:type="dxa"/>
            <w:shd w:val="clear" w:color="auto" w:fill="BF95DF"/>
          </w:tcPr>
          <w:p w:rsidR="00BB2892" w:rsidRDefault="00F55503" w:rsidP="003A7524">
            <w:pPr>
              <w:rPr>
                <w:rFonts w:cs="Calibri"/>
                <w:szCs w:val="22"/>
              </w:rPr>
            </w:pPr>
            <w:r>
              <w:rPr>
                <w:rFonts w:cs="Calibri"/>
                <w:szCs w:val="22"/>
              </w:rPr>
              <w:t>Personal capital</w:t>
            </w:r>
          </w:p>
        </w:tc>
        <w:tc>
          <w:tcPr>
            <w:tcW w:w="2409" w:type="dxa"/>
            <w:shd w:val="clear" w:color="auto" w:fill="9DFD87"/>
          </w:tcPr>
          <w:p w:rsidR="00BB2892" w:rsidRDefault="00F55503" w:rsidP="003A7524">
            <w:pPr>
              <w:rPr>
                <w:rFonts w:cs="Calibri"/>
                <w:szCs w:val="22"/>
              </w:rPr>
            </w:pPr>
            <w:r>
              <w:rPr>
                <w:rFonts w:cs="Calibri"/>
                <w:szCs w:val="22"/>
              </w:rPr>
              <w:t>Social capital</w:t>
            </w:r>
          </w:p>
        </w:tc>
        <w:tc>
          <w:tcPr>
            <w:tcW w:w="2694" w:type="dxa"/>
            <w:shd w:val="clear" w:color="auto" w:fill="93E3FF"/>
          </w:tcPr>
          <w:p w:rsidR="00BB2892" w:rsidRDefault="00F55503" w:rsidP="003A7524">
            <w:pPr>
              <w:rPr>
                <w:rFonts w:cs="Calibri"/>
                <w:szCs w:val="22"/>
              </w:rPr>
            </w:pPr>
            <w:r>
              <w:rPr>
                <w:rFonts w:cs="Calibri"/>
                <w:szCs w:val="22"/>
              </w:rPr>
              <w:t>Mutual aid</w:t>
            </w:r>
          </w:p>
        </w:tc>
        <w:tc>
          <w:tcPr>
            <w:tcW w:w="2551" w:type="dxa"/>
            <w:shd w:val="clear" w:color="auto" w:fill="FFFCC9"/>
          </w:tcPr>
          <w:p w:rsidR="00BB2892" w:rsidRDefault="00F55503" w:rsidP="003A7524">
            <w:pPr>
              <w:rPr>
                <w:rFonts w:cs="Calibri"/>
                <w:szCs w:val="22"/>
              </w:rPr>
            </w:pPr>
            <w:r>
              <w:rPr>
                <w:rFonts w:cs="Calibri"/>
                <w:szCs w:val="22"/>
              </w:rPr>
              <w:t>Tikanga</w:t>
            </w:r>
          </w:p>
        </w:tc>
      </w:tr>
      <w:tr w:rsidR="0072655C" w:rsidRPr="00D53D4F" w:rsidTr="00C25DDD">
        <w:trPr>
          <w:trHeight w:val="557"/>
        </w:trPr>
        <w:tc>
          <w:tcPr>
            <w:tcW w:w="2127" w:type="dxa"/>
            <w:shd w:val="clear" w:color="auto" w:fill="FFE599" w:themeFill="accent4" w:themeFillTint="66"/>
          </w:tcPr>
          <w:p w:rsidR="0072655C" w:rsidRDefault="0072655C" w:rsidP="003A7524">
            <w:pPr>
              <w:rPr>
                <w:rFonts w:cs="Calibri"/>
                <w:szCs w:val="22"/>
              </w:rPr>
            </w:pPr>
            <w:r>
              <w:rPr>
                <w:rFonts w:cs="Calibri"/>
                <w:szCs w:val="22"/>
              </w:rPr>
              <w:t>Mana</w:t>
            </w:r>
          </w:p>
        </w:tc>
        <w:tc>
          <w:tcPr>
            <w:tcW w:w="2409" w:type="dxa"/>
            <w:shd w:val="clear" w:color="auto" w:fill="CAFCFE"/>
          </w:tcPr>
          <w:p w:rsidR="0072655C" w:rsidRDefault="0072655C" w:rsidP="003A7524">
            <w:pPr>
              <w:rPr>
                <w:rFonts w:cs="Calibri"/>
                <w:szCs w:val="22"/>
              </w:rPr>
            </w:pPr>
            <w:r>
              <w:rPr>
                <w:rStyle w:val="hgkelc"/>
                <w:lang w:val="en"/>
              </w:rPr>
              <w:t>Mātauranga Māori</w:t>
            </w:r>
          </w:p>
        </w:tc>
        <w:tc>
          <w:tcPr>
            <w:tcW w:w="2694" w:type="dxa"/>
            <w:shd w:val="clear" w:color="auto" w:fill="F7CAAC" w:themeFill="accent2" w:themeFillTint="66"/>
          </w:tcPr>
          <w:p w:rsidR="0072655C" w:rsidRDefault="0072655C" w:rsidP="003A7524">
            <w:pPr>
              <w:rPr>
                <w:rFonts w:cs="Calibri"/>
                <w:szCs w:val="22"/>
              </w:rPr>
            </w:pPr>
            <w:r>
              <w:rPr>
                <w:rStyle w:val="hgkelc"/>
                <w:lang w:val="en"/>
              </w:rPr>
              <w:t>Mana motuhake</w:t>
            </w:r>
          </w:p>
        </w:tc>
        <w:tc>
          <w:tcPr>
            <w:tcW w:w="2551" w:type="dxa"/>
            <w:shd w:val="clear" w:color="auto" w:fill="9DFD87"/>
          </w:tcPr>
          <w:p w:rsidR="0072655C" w:rsidRDefault="00954E05" w:rsidP="003A7524">
            <w:pPr>
              <w:rPr>
                <w:rFonts w:cs="Calibri"/>
                <w:szCs w:val="22"/>
              </w:rPr>
            </w:pPr>
            <w:r>
              <w:rPr>
                <w:rStyle w:val="hgkelc"/>
                <w:lang w:val="en"/>
              </w:rPr>
              <w:t>Tūrangawaewae</w:t>
            </w:r>
          </w:p>
        </w:tc>
      </w:tr>
    </w:tbl>
    <w:p w:rsidR="006E7C9E" w:rsidRDefault="006E7C9E"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1206D1" w:rsidRDefault="001206D1" w:rsidP="006E7C9E">
      <w:pPr>
        <w:rPr>
          <w:rFonts w:cs="Calibri"/>
          <w:szCs w:val="22"/>
        </w:rPr>
      </w:pPr>
    </w:p>
    <w:p w:rsidR="00703A40" w:rsidRDefault="00703A40" w:rsidP="006E7C9E">
      <w:pPr>
        <w:rPr>
          <w:rFonts w:cs="Calibri"/>
          <w:szCs w:val="22"/>
        </w:rPr>
      </w:pPr>
      <w:bookmarkStart w:id="0" w:name="_GoBack"/>
      <w:bookmarkEnd w:id="0"/>
    </w:p>
    <w:tbl>
      <w:tblPr>
        <w:tblStyle w:val="TableGrid"/>
        <w:tblW w:w="9781" w:type="dxa"/>
        <w:tblInd w:w="-5" w:type="dxa"/>
        <w:tblLook w:val="04A0" w:firstRow="1" w:lastRow="0" w:firstColumn="1" w:lastColumn="0" w:noHBand="0" w:noVBand="1"/>
      </w:tblPr>
      <w:tblGrid>
        <w:gridCol w:w="1357"/>
        <w:gridCol w:w="1660"/>
        <w:gridCol w:w="3571"/>
        <w:gridCol w:w="3193"/>
      </w:tblGrid>
      <w:tr w:rsidR="00E34778" w:rsidTr="00C25DDD">
        <w:tc>
          <w:tcPr>
            <w:tcW w:w="9781" w:type="dxa"/>
            <w:gridSpan w:val="4"/>
            <w:shd w:val="clear" w:color="auto" w:fill="F2F2F2" w:themeFill="background1" w:themeFillShade="F2"/>
          </w:tcPr>
          <w:p w:rsidR="00E34778" w:rsidRDefault="006720DB" w:rsidP="006E7C9E">
            <w:pPr>
              <w:rPr>
                <w:rFonts w:cs="Calibri"/>
                <w:b/>
                <w:sz w:val="28"/>
                <w:szCs w:val="28"/>
              </w:rPr>
            </w:pPr>
            <w:r>
              <w:rPr>
                <w:rFonts w:cs="Calibri"/>
                <w:b/>
                <w:sz w:val="28"/>
                <w:szCs w:val="28"/>
              </w:rPr>
              <w:t>Service pathway p</w:t>
            </w:r>
            <w:r w:rsidRPr="006720DB">
              <w:rPr>
                <w:rFonts w:cs="Calibri"/>
                <w:b/>
                <w:sz w:val="28"/>
                <w:szCs w:val="28"/>
              </w:rPr>
              <w:t xml:space="preserve">rocesses </w:t>
            </w:r>
            <w:r>
              <w:rPr>
                <w:rFonts w:cs="Calibri"/>
                <w:b/>
                <w:sz w:val="28"/>
                <w:szCs w:val="28"/>
              </w:rPr>
              <w:t>that include safety discussions and plans</w:t>
            </w:r>
          </w:p>
          <w:p w:rsidR="00E34778" w:rsidRDefault="00595F21" w:rsidP="00FF0578">
            <w:pPr>
              <w:rPr>
                <w:rFonts w:cs="Calibri"/>
                <w:szCs w:val="22"/>
              </w:rPr>
            </w:pPr>
            <w:r w:rsidRPr="00FD0ADD">
              <w:rPr>
                <w:rFonts w:cs="Calibri"/>
                <w:szCs w:val="22"/>
              </w:rPr>
              <w:t>(</w:t>
            </w:r>
            <w:r w:rsidR="00FD0ADD" w:rsidRPr="00FD0ADD">
              <w:rPr>
                <w:rFonts w:cs="Calibri"/>
                <w:szCs w:val="22"/>
              </w:rPr>
              <w:t>For additional details</w:t>
            </w:r>
            <w:r w:rsidR="00FD0ADD">
              <w:rPr>
                <w:rFonts w:cs="Calibri"/>
                <w:b/>
                <w:sz w:val="28"/>
                <w:szCs w:val="28"/>
              </w:rPr>
              <w:t xml:space="preserve"> </w:t>
            </w:r>
            <w:r>
              <w:rPr>
                <w:rFonts w:cs="Calibri"/>
                <w:szCs w:val="22"/>
              </w:rPr>
              <w:t xml:space="preserve">refer to </w:t>
            </w:r>
            <w:r w:rsidR="00FD0ADD">
              <w:rPr>
                <w:rFonts w:cs="Calibri"/>
                <w:szCs w:val="22"/>
              </w:rPr>
              <w:t xml:space="preserve">our policy/procedure </w:t>
            </w:r>
            <w:r w:rsidRPr="00DF4FE0">
              <w:rPr>
                <w:lang w:val="en-NZ"/>
              </w:rPr>
              <w:t>Ng</w:t>
            </w:r>
            <w:r w:rsidRPr="00DF4FE0">
              <w:rPr>
                <w:rFonts w:cs="Calibri"/>
                <w:lang w:val="en-NZ"/>
              </w:rPr>
              <w:t>ā</w:t>
            </w:r>
            <w:r w:rsidRPr="00DF4FE0">
              <w:rPr>
                <w:lang w:val="en-NZ"/>
              </w:rPr>
              <w:t xml:space="preserve"> Huarahi</w:t>
            </w:r>
            <w:r>
              <w:rPr>
                <w:lang w:val="en-NZ"/>
              </w:rPr>
              <w:t xml:space="preserve"> </w:t>
            </w:r>
            <w:r w:rsidRPr="00DF4FE0">
              <w:rPr>
                <w:lang w:val="en-NZ"/>
              </w:rPr>
              <w:t xml:space="preserve">ki te </w:t>
            </w:r>
            <w:r>
              <w:rPr>
                <w:lang w:val="en-NZ"/>
              </w:rPr>
              <w:t>oranga - Pathways to wellbeing</w:t>
            </w:r>
            <w:r w:rsidR="00FD0ADD">
              <w:rPr>
                <w:lang w:val="en-NZ"/>
              </w:rPr>
              <w:t>.)</w:t>
            </w:r>
            <w:r w:rsidR="00FF0578">
              <w:rPr>
                <w:lang w:val="en-NZ"/>
              </w:rPr>
              <w:t xml:space="preserve"> </w:t>
            </w:r>
          </w:p>
        </w:tc>
      </w:tr>
      <w:tr w:rsidR="00C25DDD" w:rsidTr="00C25DDD">
        <w:tc>
          <w:tcPr>
            <w:tcW w:w="1357" w:type="dxa"/>
            <w:shd w:val="clear" w:color="auto" w:fill="F2F2F2" w:themeFill="background1" w:themeFillShade="F2"/>
          </w:tcPr>
          <w:p w:rsidR="00E34778" w:rsidRPr="006B0586" w:rsidRDefault="00DD0487" w:rsidP="006E7C9E">
            <w:pPr>
              <w:rPr>
                <w:rFonts w:cs="Calibri"/>
                <w:b/>
                <w:szCs w:val="22"/>
              </w:rPr>
            </w:pPr>
            <w:r>
              <w:rPr>
                <w:rFonts w:cs="Calibri"/>
                <w:b/>
                <w:szCs w:val="22"/>
              </w:rPr>
              <w:t>Pathway</w:t>
            </w:r>
          </w:p>
        </w:tc>
        <w:tc>
          <w:tcPr>
            <w:tcW w:w="1660" w:type="dxa"/>
            <w:shd w:val="clear" w:color="auto" w:fill="F2F2F2" w:themeFill="background1" w:themeFillShade="F2"/>
          </w:tcPr>
          <w:p w:rsidR="00E34778" w:rsidRPr="006B0586" w:rsidRDefault="006B0586" w:rsidP="006E7C9E">
            <w:pPr>
              <w:rPr>
                <w:rFonts w:cs="Calibri"/>
                <w:b/>
                <w:szCs w:val="22"/>
              </w:rPr>
            </w:pPr>
            <w:r w:rsidRPr="006B0586">
              <w:rPr>
                <w:rFonts w:cs="Calibri"/>
                <w:b/>
                <w:szCs w:val="22"/>
              </w:rPr>
              <w:t xml:space="preserve">Participants </w:t>
            </w:r>
          </w:p>
        </w:tc>
        <w:tc>
          <w:tcPr>
            <w:tcW w:w="3571" w:type="dxa"/>
            <w:shd w:val="clear" w:color="auto" w:fill="F2F2F2" w:themeFill="background1" w:themeFillShade="F2"/>
          </w:tcPr>
          <w:p w:rsidR="00E34778" w:rsidRPr="006B0586" w:rsidRDefault="00DD0487" w:rsidP="006E7C9E">
            <w:pPr>
              <w:rPr>
                <w:rFonts w:cs="Calibri"/>
                <w:b/>
                <w:szCs w:val="22"/>
              </w:rPr>
            </w:pPr>
            <w:r>
              <w:rPr>
                <w:rFonts w:cs="Calibri"/>
                <w:b/>
                <w:szCs w:val="22"/>
              </w:rPr>
              <w:t>Process</w:t>
            </w:r>
          </w:p>
        </w:tc>
        <w:tc>
          <w:tcPr>
            <w:tcW w:w="3193" w:type="dxa"/>
            <w:shd w:val="clear" w:color="auto" w:fill="F2F2F2" w:themeFill="background1" w:themeFillShade="F2"/>
          </w:tcPr>
          <w:p w:rsidR="00E34778" w:rsidRPr="006B0586" w:rsidRDefault="006B0586" w:rsidP="006E7C9E">
            <w:pPr>
              <w:rPr>
                <w:rFonts w:cs="Calibri"/>
                <w:b/>
                <w:szCs w:val="22"/>
              </w:rPr>
            </w:pPr>
            <w:r w:rsidRPr="006B0586">
              <w:rPr>
                <w:rFonts w:cs="Calibri"/>
                <w:b/>
                <w:szCs w:val="22"/>
              </w:rPr>
              <w:t>Outcomes</w:t>
            </w:r>
          </w:p>
        </w:tc>
      </w:tr>
      <w:tr w:rsidR="00C25DDD" w:rsidTr="00C25DDD">
        <w:tc>
          <w:tcPr>
            <w:tcW w:w="1357" w:type="dxa"/>
            <w:shd w:val="clear" w:color="auto" w:fill="F2F2F2" w:themeFill="background1" w:themeFillShade="F2"/>
          </w:tcPr>
          <w:p w:rsidR="00FF0578" w:rsidRPr="006B0586" w:rsidRDefault="00FF0578" w:rsidP="006E7C9E">
            <w:pPr>
              <w:rPr>
                <w:rFonts w:cs="Calibri"/>
                <w:b/>
                <w:szCs w:val="22"/>
              </w:rPr>
            </w:pPr>
            <w:r>
              <w:rPr>
                <w:rFonts w:cs="Calibri"/>
                <w:b/>
                <w:szCs w:val="22"/>
              </w:rPr>
              <w:t>Referral</w:t>
            </w:r>
          </w:p>
        </w:tc>
        <w:tc>
          <w:tcPr>
            <w:tcW w:w="1660" w:type="dxa"/>
            <w:vMerge w:val="restart"/>
          </w:tcPr>
          <w:p w:rsidR="00FF0578" w:rsidRDefault="00FF0578" w:rsidP="006E7C9E">
            <w:pPr>
              <w:rPr>
                <w:rFonts w:cs="Calibri"/>
                <w:szCs w:val="22"/>
              </w:rPr>
            </w:pPr>
          </w:p>
          <w:p w:rsidR="00FF0578" w:rsidRDefault="00FF0578" w:rsidP="006E7C9E">
            <w:pPr>
              <w:rPr>
                <w:rFonts w:cs="Calibri"/>
                <w:szCs w:val="22"/>
              </w:rPr>
            </w:pPr>
          </w:p>
          <w:p w:rsidR="00146925" w:rsidRDefault="00146925" w:rsidP="006E7C9E">
            <w:pPr>
              <w:rPr>
                <w:rFonts w:cs="Calibri"/>
                <w:szCs w:val="22"/>
              </w:rPr>
            </w:pPr>
          </w:p>
          <w:p w:rsidR="00146925" w:rsidRDefault="00146925" w:rsidP="006E7C9E">
            <w:pPr>
              <w:rPr>
                <w:rFonts w:cs="Calibri"/>
                <w:szCs w:val="22"/>
              </w:rPr>
            </w:pPr>
          </w:p>
          <w:p w:rsidR="00FF0578" w:rsidRPr="00595F21" w:rsidRDefault="00FF0578" w:rsidP="006E7C9E">
            <w:pPr>
              <w:rPr>
                <w:rFonts w:cs="Calibri"/>
                <w:szCs w:val="22"/>
              </w:rPr>
            </w:pPr>
            <w:r w:rsidRPr="00595F21">
              <w:rPr>
                <w:rFonts w:cs="Calibri"/>
                <w:szCs w:val="22"/>
              </w:rPr>
              <w:t>tāngata whai ora/tāngata whaika</w:t>
            </w:r>
            <w:r>
              <w:rPr>
                <w:rFonts w:cs="Calibri"/>
                <w:szCs w:val="22"/>
              </w:rPr>
              <w:t>ha</w:t>
            </w:r>
          </w:p>
          <w:p w:rsidR="00FF0578" w:rsidRPr="00595F21" w:rsidRDefault="00FF0578" w:rsidP="006E7C9E">
            <w:pPr>
              <w:rPr>
                <w:rFonts w:cs="Calibri"/>
                <w:szCs w:val="22"/>
              </w:rPr>
            </w:pPr>
            <w:r w:rsidRPr="00595F21">
              <w:rPr>
                <w:rFonts w:cs="Calibri"/>
                <w:szCs w:val="22"/>
              </w:rPr>
              <w:t>whānau</w:t>
            </w:r>
          </w:p>
          <w:p w:rsidR="00FF0578" w:rsidRDefault="00FF0578" w:rsidP="006E7C9E">
            <w:pPr>
              <w:rPr>
                <w:rFonts w:cs="Calibri"/>
                <w:szCs w:val="22"/>
              </w:rPr>
            </w:pPr>
            <w:r w:rsidRPr="00595F21">
              <w:rPr>
                <w:rFonts w:cs="Calibri"/>
                <w:szCs w:val="22"/>
              </w:rPr>
              <w:t>referrer</w:t>
            </w:r>
          </w:p>
          <w:p w:rsidR="00FF0578" w:rsidRPr="00595F21" w:rsidRDefault="00FF0578" w:rsidP="006E7C9E">
            <w:pPr>
              <w:rPr>
                <w:rFonts w:cs="Calibri"/>
                <w:szCs w:val="22"/>
              </w:rPr>
            </w:pPr>
            <w:r w:rsidRPr="00595F21">
              <w:rPr>
                <w:rFonts w:cs="Calibri"/>
                <w:szCs w:val="22"/>
              </w:rPr>
              <w:t>our service</w:t>
            </w:r>
          </w:p>
          <w:p w:rsidR="00FF0578" w:rsidRPr="00595F21" w:rsidRDefault="00FF0578" w:rsidP="006E7C9E">
            <w:pPr>
              <w:rPr>
                <w:rFonts w:cs="Calibri"/>
                <w:szCs w:val="22"/>
              </w:rPr>
            </w:pPr>
            <w:r w:rsidRPr="00595F21">
              <w:rPr>
                <w:rFonts w:cs="Calibri"/>
                <w:szCs w:val="22"/>
              </w:rPr>
              <w:t xml:space="preserve">peer </w:t>
            </w:r>
            <w:r w:rsidR="00415D6E">
              <w:rPr>
                <w:rFonts w:cs="Calibri"/>
                <w:szCs w:val="22"/>
              </w:rPr>
              <w:t>practitioner</w:t>
            </w:r>
          </w:p>
          <w:p w:rsidR="00FF0578" w:rsidRPr="00595F21" w:rsidRDefault="00FF0578" w:rsidP="006E7C9E">
            <w:pPr>
              <w:rPr>
                <w:rFonts w:cs="Calibri"/>
                <w:szCs w:val="22"/>
              </w:rPr>
            </w:pPr>
            <w:r w:rsidRPr="00595F21">
              <w:rPr>
                <w:rFonts w:cs="Calibri"/>
                <w:szCs w:val="22"/>
              </w:rPr>
              <w:t xml:space="preserve">cultural </w:t>
            </w:r>
            <w:r w:rsidR="00415D6E">
              <w:rPr>
                <w:rFonts w:cs="Calibri"/>
                <w:szCs w:val="22"/>
              </w:rPr>
              <w:t>practitioner</w:t>
            </w:r>
          </w:p>
          <w:p w:rsidR="00FF0578" w:rsidRPr="006B0586" w:rsidRDefault="00FF0578" w:rsidP="006E7C9E">
            <w:pPr>
              <w:rPr>
                <w:rFonts w:cs="Calibri"/>
                <w:b/>
                <w:szCs w:val="22"/>
              </w:rPr>
            </w:pPr>
          </w:p>
        </w:tc>
        <w:tc>
          <w:tcPr>
            <w:tcW w:w="3571" w:type="dxa"/>
          </w:tcPr>
          <w:p w:rsidR="00FF0578" w:rsidRPr="009967F5" w:rsidRDefault="00FF0578" w:rsidP="00A12BCE">
            <w:pPr>
              <w:pStyle w:val="ListParagraph"/>
              <w:numPr>
                <w:ilvl w:val="0"/>
                <w:numId w:val="10"/>
              </w:numPr>
              <w:rPr>
                <w:rFonts w:cs="Calibri"/>
                <w:szCs w:val="22"/>
              </w:rPr>
            </w:pPr>
            <w:r w:rsidRPr="009967F5">
              <w:rPr>
                <w:rFonts w:cs="Calibri"/>
                <w:szCs w:val="22"/>
              </w:rPr>
              <w:t>Referral information includes safety issues that need to be considered.</w:t>
            </w:r>
          </w:p>
          <w:p w:rsidR="00FF0578" w:rsidRPr="006B0586" w:rsidRDefault="00FF0578" w:rsidP="00A12BCE">
            <w:pPr>
              <w:pStyle w:val="ListParagraph"/>
              <w:numPr>
                <w:ilvl w:val="0"/>
                <w:numId w:val="10"/>
              </w:numPr>
              <w:tabs>
                <w:tab w:val="num" w:pos="180"/>
              </w:tabs>
              <w:rPr>
                <w:rFonts w:cs="Calibri"/>
                <w:b/>
                <w:szCs w:val="22"/>
              </w:rPr>
            </w:pPr>
            <w:r>
              <w:rPr>
                <w:rFonts w:cs="Calibri"/>
                <w:szCs w:val="22"/>
              </w:rPr>
              <w:t xml:space="preserve">    </w:t>
            </w:r>
            <w:r w:rsidRPr="009967F5">
              <w:rPr>
                <w:rFonts w:cs="Calibri"/>
                <w:szCs w:val="22"/>
              </w:rPr>
              <w:t xml:space="preserve">Referrer has a safety plan in place that was discussed and agreed on by </w:t>
            </w:r>
            <w:r w:rsidRPr="009967F5">
              <w:rPr>
                <w:rFonts w:cs="Calibri"/>
                <w:szCs w:val="22"/>
              </w:rPr>
              <w:t>tāngata whai ora/</w:t>
            </w:r>
            <w:r w:rsidRPr="009967F5">
              <w:rPr>
                <w:rFonts w:cs="Calibri"/>
                <w:szCs w:val="22"/>
              </w:rPr>
              <w:t xml:space="preserve"> </w:t>
            </w:r>
            <w:r w:rsidRPr="009967F5">
              <w:rPr>
                <w:rFonts w:cs="Calibri"/>
                <w:szCs w:val="22"/>
              </w:rPr>
              <w:t>tāngata whaika</w:t>
            </w:r>
            <w:r w:rsidRPr="009967F5">
              <w:rPr>
                <w:rFonts w:cs="Calibri"/>
                <w:szCs w:val="22"/>
              </w:rPr>
              <w:t xml:space="preserve">ha and their </w:t>
            </w:r>
            <w:r w:rsidRPr="009967F5">
              <w:rPr>
                <w:rFonts w:cs="Calibri"/>
                <w:szCs w:val="22"/>
              </w:rPr>
              <w:t>whānau</w:t>
            </w:r>
            <w:r w:rsidR="00F23D64">
              <w:rPr>
                <w:rFonts w:cs="Calibri"/>
                <w:szCs w:val="22"/>
              </w:rPr>
              <w:t xml:space="preserve">. </w:t>
            </w:r>
          </w:p>
        </w:tc>
        <w:tc>
          <w:tcPr>
            <w:tcW w:w="3193" w:type="dxa"/>
          </w:tcPr>
          <w:p w:rsidR="00FF0578" w:rsidRPr="003A1287" w:rsidRDefault="00FF0578" w:rsidP="00EF4C8C">
            <w:pPr>
              <w:rPr>
                <w:rFonts w:cs="Calibri"/>
                <w:szCs w:val="22"/>
              </w:rPr>
            </w:pPr>
            <w:r w:rsidRPr="003A1287">
              <w:rPr>
                <w:rFonts w:cs="Calibri"/>
                <w:szCs w:val="22"/>
              </w:rPr>
              <w:t xml:space="preserve">Participants agree that </w:t>
            </w:r>
            <w:r>
              <w:rPr>
                <w:rFonts w:cs="Calibri"/>
                <w:szCs w:val="22"/>
              </w:rPr>
              <w:t xml:space="preserve">our service </w:t>
            </w:r>
            <w:r w:rsidRPr="003A1287">
              <w:rPr>
                <w:rFonts w:cs="Calibri"/>
                <w:szCs w:val="22"/>
              </w:rPr>
              <w:t xml:space="preserve">can </w:t>
            </w:r>
            <w:r>
              <w:rPr>
                <w:rFonts w:cs="Calibri"/>
                <w:szCs w:val="22"/>
              </w:rPr>
              <w:t xml:space="preserve">support </w:t>
            </w:r>
            <w:r w:rsidRPr="00595F21">
              <w:rPr>
                <w:rFonts w:cs="Calibri"/>
                <w:szCs w:val="22"/>
              </w:rPr>
              <w:t>tāngata whai ora/tāngata whaika</w:t>
            </w:r>
            <w:r>
              <w:rPr>
                <w:rFonts w:cs="Calibri"/>
                <w:szCs w:val="22"/>
              </w:rPr>
              <w:t>ha and their whānau safety plan.</w:t>
            </w:r>
          </w:p>
        </w:tc>
      </w:tr>
      <w:tr w:rsidR="00C25DDD" w:rsidTr="00C25DDD">
        <w:trPr>
          <w:trHeight w:val="1918"/>
        </w:trPr>
        <w:tc>
          <w:tcPr>
            <w:tcW w:w="1357" w:type="dxa"/>
            <w:shd w:val="clear" w:color="auto" w:fill="F2F2F2" w:themeFill="background1" w:themeFillShade="F2"/>
          </w:tcPr>
          <w:p w:rsidR="00F23D64" w:rsidRDefault="00FF0578" w:rsidP="006E7C9E">
            <w:pPr>
              <w:rPr>
                <w:rFonts w:cs="Calibri"/>
                <w:b/>
                <w:szCs w:val="22"/>
              </w:rPr>
            </w:pPr>
            <w:r>
              <w:rPr>
                <w:rFonts w:cs="Calibri"/>
                <w:b/>
                <w:szCs w:val="22"/>
              </w:rPr>
              <w:t>Service entry</w:t>
            </w:r>
          </w:p>
          <w:p w:rsidR="00F23D64" w:rsidRPr="00F23D64" w:rsidRDefault="00F23D64" w:rsidP="00F23D64">
            <w:pPr>
              <w:rPr>
                <w:rFonts w:cs="Calibri"/>
                <w:szCs w:val="22"/>
              </w:rPr>
            </w:pPr>
          </w:p>
          <w:p w:rsidR="00F23D64" w:rsidRPr="00F23D64" w:rsidRDefault="00F23D64" w:rsidP="00F23D64">
            <w:pPr>
              <w:rPr>
                <w:rFonts w:cs="Calibri"/>
                <w:szCs w:val="22"/>
              </w:rPr>
            </w:pPr>
          </w:p>
          <w:p w:rsidR="00F23D64" w:rsidRPr="00F23D64" w:rsidRDefault="00F23D64" w:rsidP="00F23D64">
            <w:pPr>
              <w:rPr>
                <w:rFonts w:cs="Calibri"/>
                <w:szCs w:val="22"/>
              </w:rPr>
            </w:pPr>
          </w:p>
          <w:p w:rsidR="00F23D64" w:rsidRPr="00F23D64" w:rsidRDefault="00F23D64" w:rsidP="00F23D64">
            <w:pPr>
              <w:rPr>
                <w:rFonts w:cs="Calibri"/>
                <w:szCs w:val="22"/>
              </w:rPr>
            </w:pPr>
          </w:p>
          <w:p w:rsidR="00F23D64" w:rsidRDefault="00F23D64" w:rsidP="00F23D64">
            <w:pPr>
              <w:rPr>
                <w:rFonts w:cs="Calibri"/>
                <w:szCs w:val="22"/>
              </w:rPr>
            </w:pPr>
          </w:p>
          <w:p w:rsidR="00FF0578" w:rsidRPr="00F23D64" w:rsidRDefault="00FF0578" w:rsidP="00F23D64">
            <w:pPr>
              <w:jc w:val="center"/>
              <w:rPr>
                <w:rFonts w:cs="Calibri"/>
                <w:szCs w:val="22"/>
              </w:rPr>
            </w:pPr>
          </w:p>
        </w:tc>
        <w:tc>
          <w:tcPr>
            <w:tcW w:w="1660" w:type="dxa"/>
            <w:vMerge/>
          </w:tcPr>
          <w:p w:rsidR="00FF0578" w:rsidRPr="006B0586" w:rsidRDefault="00FF0578" w:rsidP="006E7C9E">
            <w:pPr>
              <w:rPr>
                <w:rFonts w:cs="Calibri"/>
                <w:b/>
                <w:szCs w:val="22"/>
              </w:rPr>
            </w:pPr>
          </w:p>
        </w:tc>
        <w:tc>
          <w:tcPr>
            <w:tcW w:w="3571" w:type="dxa"/>
          </w:tcPr>
          <w:p w:rsidR="00FF0578" w:rsidRPr="00FF0578" w:rsidRDefault="00FF0578" w:rsidP="00A12BCE">
            <w:pPr>
              <w:pStyle w:val="ListParagraph"/>
              <w:numPr>
                <w:ilvl w:val="0"/>
                <w:numId w:val="11"/>
              </w:numPr>
              <w:rPr>
                <w:rFonts w:cs="Calibri"/>
                <w:szCs w:val="22"/>
              </w:rPr>
            </w:pPr>
            <w:r w:rsidRPr="00FF0578">
              <w:rPr>
                <w:rFonts w:cs="Calibri"/>
                <w:szCs w:val="22"/>
              </w:rPr>
              <w:t xml:space="preserve">Confirm the safety issues and plan submitted and discussed at referral is still current. </w:t>
            </w:r>
          </w:p>
          <w:p w:rsidR="00FF0578" w:rsidRDefault="00FF0578" w:rsidP="00A12BCE">
            <w:pPr>
              <w:pStyle w:val="ListParagraph"/>
              <w:numPr>
                <w:ilvl w:val="0"/>
                <w:numId w:val="11"/>
              </w:numPr>
              <w:rPr>
                <w:rFonts w:cs="Calibri"/>
                <w:szCs w:val="22"/>
              </w:rPr>
            </w:pPr>
            <w:r w:rsidRPr="00FF0578">
              <w:rPr>
                <w:rFonts w:cs="Calibri"/>
                <w:szCs w:val="22"/>
              </w:rPr>
              <w:t>Amend the plan if required.</w:t>
            </w:r>
          </w:p>
          <w:p w:rsidR="00FF0578" w:rsidRPr="006B0586" w:rsidRDefault="00FF0578" w:rsidP="00A12BCE">
            <w:pPr>
              <w:pStyle w:val="ListParagraph"/>
              <w:numPr>
                <w:ilvl w:val="0"/>
                <w:numId w:val="11"/>
              </w:numPr>
              <w:rPr>
                <w:rFonts w:cs="Calibri"/>
                <w:b/>
                <w:szCs w:val="22"/>
              </w:rPr>
            </w:pPr>
            <w:r>
              <w:rPr>
                <w:rFonts w:cs="Calibri"/>
                <w:szCs w:val="22"/>
              </w:rPr>
              <w:t xml:space="preserve">Ensure that </w:t>
            </w:r>
            <w:r w:rsidRPr="009967F5">
              <w:rPr>
                <w:rFonts w:cs="Calibri"/>
                <w:szCs w:val="22"/>
              </w:rPr>
              <w:t>tāngata whai ora/  tāngata whaikaha</w:t>
            </w:r>
            <w:r>
              <w:rPr>
                <w:rFonts w:cs="Calibri"/>
                <w:szCs w:val="22"/>
              </w:rPr>
              <w:t xml:space="preserve"> have a copy of the plan. </w:t>
            </w:r>
          </w:p>
        </w:tc>
        <w:tc>
          <w:tcPr>
            <w:tcW w:w="3193" w:type="dxa"/>
          </w:tcPr>
          <w:p w:rsidR="00FF0578" w:rsidRPr="003A1287" w:rsidRDefault="00FF0578" w:rsidP="006E7C9E">
            <w:pPr>
              <w:rPr>
                <w:rFonts w:cs="Calibri"/>
                <w:szCs w:val="22"/>
              </w:rPr>
            </w:pPr>
            <w:r w:rsidRPr="003A1287">
              <w:rPr>
                <w:rFonts w:cs="Calibri"/>
                <w:szCs w:val="22"/>
              </w:rPr>
              <w:t>The safety plan is current.</w:t>
            </w:r>
          </w:p>
        </w:tc>
      </w:tr>
      <w:tr w:rsidR="00415D6E" w:rsidTr="00C25DDD">
        <w:trPr>
          <w:trHeight w:val="5441"/>
        </w:trPr>
        <w:tc>
          <w:tcPr>
            <w:tcW w:w="1357" w:type="dxa"/>
            <w:shd w:val="clear" w:color="auto" w:fill="F2F2F2" w:themeFill="background1" w:themeFillShade="F2"/>
          </w:tcPr>
          <w:p w:rsidR="00415D6E" w:rsidRDefault="00415D6E" w:rsidP="006E7C9E">
            <w:pPr>
              <w:rPr>
                <w:rFonts w:cs="Calibri"/>
                <w:b/>
                <w:szCs w:val="22"/>
              </w:rPr>
            </w:pPr>
            <w:r>
              <w:rPr>
                <w:rFonts w:cs="Calibri"/>
                <w:b/>
                <w:szCs w:val="22"/>
              </w:rPr>
              <w:t>During service engagement</w:t>
            </w:r>
          </w:p>
        </w:tc>
        <w:tc>
          <w:tcPr>
            <w:tcW w:w="1660" w:type="dxa"/>
          </w:tcPr>
          <w:p w:rsidR="00415D6E" w:rsidRDefault="00415D6E" w:rsidP="006E7C9E">
            <w:pPr>
              <w:rPr>
                <w:rFonts w:cs="Calibri"/>
                <w:b/>
                <w:szCs w:val="22"/>
              </w:rPr>
            </w:pPr>
          </w:p>
          <w:p w:rsidR="00415D6E" w:rsidRDefault="00415D6E" w:rsidP="006E7C9E">
            <w:pPr>
              <w:rPr>
                <w:rFonts w:cs="Calibri"/>
                <w:b/>
                <w:szCs w:val="22"/>
              </w:rPr>
            </w:pPr>
          </w:p>
          <w:p w:rsidR="00415D6E" w:rsidRDefault="00415D6E" w:rsidP="006E7C9E">
            <w:pPr>
              <w:rPr>
                <w:rFonts w:cs="Calibri"/>
                <w:b/>
                <w:szCs w:val="22"/>
              </w:rPr>
            </w:pPr>
          </w:p>
          <w:p w:rsidR="00415D6E" w:rsidRDefault="00415D6E" w:rsidP="006E7C9E">
            <w:pPr>
              <w:rPr>
                <w:rFonts w:cs="Calibri"/>
                <w:b/>
                <w:szCs w:val="22"/>
              </w:rPr>
            </w:pPr>
          </w:p>
          <w:p w:rsidR="00415D6E" w:rsidRDefault="00415D6E" w:rsidP="006E7C9E">
            <w:pPr>
              <w:rPr>
                <w:rFonts w:cs="Calibri"/>
                <w:b/>
                <w:szCs w:val="22"/>
              </w:rPr>
            </w:pPr>
          </w:p>
          <w:p w:rsidR="00415D6E" w:rsidRDefault="00415D6E" w:rsidP="006E7C9E">
            <w:pPr>
              <w:rPr>
                <w:rFonts w:cs="Calibri"/>
                <w:b/>
                <w:szCs w:val="22"/>
              </w:rPr>
            </w:pPr>
          </w:p>
          <w:p w:rsidR="00415D6E" w:rsidRPr="00595F21" w:rsidRDefault="00415D6E" w:rsidP="0019453A">
            <w:pPr>
              <w:rPr>
                <w:rFonts w:cs="Calibri"/>
                <w:szCs w:val="22"/>
              </w:rPr>
            </w:pPr>
            <w:r w:rsidRPr="00595F21">
              <w:rPr>
                <w:rFonts w:cs="Calibri"/>
                <w:szCs w:val="22"/>
              </w:rPr>
              <w:t>tāngata whai ora/tāngata whaika</w:t>
            </w:r>
            <w:r>
              <w:rPr>
                <w:rFonts w:cs="Calibri"/>
                <w:szCs w:val="22"/>
              </w:rPr>
              <w:t>ha</w:t>
            </w:r>
          </w:p>
          <w:p w:rsidR="00415D6E" w:rsidRDefault="00415D6E" w:rsidP="0019453A">
            <w:pPr>
              <w:rPr>
                <w:rFonts w:cs="Calibri"/>
                <w:szCs w:val="22"/>
              </w:rPr>
            </w:pPr>
            <w:r w:rsidRPr="00595F21">
              <w:rPr>
                <w:rFonts w:cs="Calibri"/>
                <w:szCs w:val="22"/>
              </w:rPr>
              <w:t>whānau</w:t>
            </w:r>
          </w:p>
          <w:p w:rsidR="00415D6E" w:rsidRDefault="00415D6E" w:rsidP="0019453A">
            <w:pPr>
              <w:rPr>
                <w:rFonts w:cs="Calibri"/>
                <w:szCs w:val="22"/>
              </w:rPr>
            </w:pPr>
            <w:r w:rsidRPr="00595F21">
              <w:rPr>
                <w:rFonts w:cs="Calibri"/>
                <w:szCs w:val="22"/>
              </w:rPr>
              <w:t>our service</w:t>
            </w:r>
          </w:p>
          <w:p w:rsidR="00415D6E" w:rsidRPr="00595F21" w:rsidRDefault="00415D6E" w:rsidP="0019453A">
            <w:pPr>
              <w:rPr>
                <w:rFonts w:cs="Calibri"/>
                <w:szCs w:val="22"/>
              </w:rPr>
            </w:pPr>
            <w:r>
              <w:rPr>
                <w:rFonts w:cs="Calibri"/>
                <w:szCs w:val="22"/>
              </w:rPr>
              <w:t>other service providers</w:t>
            </w:r>
          </w:p>
          <w:p w:rsidR="00415D6E" w:rsidRPr="00595F21" w:rsidRDefault="00415D6E" w:rsidP="0019453A">
            <w:pPr>
              <w:rPr>
                <w:rFonts w:cs="Calibri"/>
                <w:szCs w:val="22"/>
              </w:rPr>
            </w:pPr>
            <w:r>
              <w:rPr>
                <w:rFonts w:cs="Calibri"/>
                <w:szCs w:val="22"/>
              </w:rPr>
              <w:t>peer practitioner</w:t>
            </w:r>
            <w:r w:rsidRPr="00595F21">
              <w:rPr>
                <w:rFonts w:cs="Calibri"/>
                <w:szCs w:val="22"/>
              </w:rPr>
              <w:t xml:space="preserve"> </w:t>
            </w:r>
          </w:p>
          <w:p w:rsidR="00415D6E" w:rsidRPr="006B0586" w:rsidRDefault="00415D6E" w:rsidP="00415D6E">
            <w:pPr>
              <w:rPr>
                <w:rFonts w:cs="Calibri"/>
                <w:b/>
                <w:szCs w:val="22"/>
              </w:rPr>
            </w:pPr>
            <w:r w:rsidRPr="00595F21">
              <w:rPr>
                <w:rFonts w:cs="Calibri"/>
                <w:szCs w:val="22"/>
              </w:rPr>
              <w:t xml:space="preserve">cultural </w:t>
            </w:r>
            <w:r>
              <w:rPr>
                <w:rFonts w:cs="Calibri"/>
                <w:szCs w:val="22"/>
              </w:rPr>
              <w:t>practitioner</w:t>
            </w:r>
          </w:p>
        </w:tc>
        <w:tc>
          <w:tcPr>
            <w:tcW w:w="3571" w:type="dxa"/>
          </w:tcPr>
          <w:p w:rsidR="00415D6E" w:rsidRDefault="00415D6E" w:rsidP="00446509">
            <w:pPr>
              <w:rPr>
                <w:rFonts w:cs="Calibri"/>
                <w:szCs w:val="22"/>
              </w:rPr>
            </w:pPr>
            <w:r>
              <w:rPr>
                <w:rFonts w:cs="Calibri"/>
                <w:szCs w:val="22"/>
              </w:rPr>
              <w:t>Safety conversations and responses are an integral part of for example:</w:t>
            </w:r>
          </w:p>
          <w:p w:rsidR="00415D6E" w:rsidRDefault="00415D6E" w:rsidP="00A12BCE">
            <w:pPr>
              <w:pStyle w:val="ListParagraph"/>
              <w:numPr>
                <w:ilvl w:val="0"/>
                <w:numId w:val="12"/>
              </w:numPr>
              <w:rPr>
                <w:rFonts w:cs="Calibri"/>
                <w:szCs w:val="22"/>
              </w:rPr>
            </w:pPr>
            <w:r>
              <w:rPr>
                <w:rFonts w:cs="Calibri"/>
                <w:szCs w:val="22"/>
              </w:rPr>
              <w:t>Therapeutic interactions</w:t>
            </w:r>
          </w:p>
          <w:p w:rsidR="00415D6E" w:rsidRDefault="00415D6E" w:rsidP="00A12BCE">
            <w:pPr>
              <w:pStyle w:val="ListParagraph"/>
              <w:numPr>
                <w:ilvl w:val="0"/>
                <w:numId w:val="12"/>
              </w:numPr>
              <w:rPr>
                <w:rFonts w:cs="Calibri"/>
                <w:szCs w:val="22"/>
              </w:rPr>
            </w:pPr>
            <w:r>
              <w:rPr>
                <w:rFonts w:cs="Calibri"/>
                <w:szCs w:val="22"/>
              </w:rPr>
              <w:t>Peer support meetings</w:t>
            </w:r>
          </w:p>
          <w:p w:rsidR="00415D6E" w:rsidRDefault="00415D6E" w:rsidP="00A12BCE">
            <w:pPr>
              <w:pStyle w:val="ListParagraph"/>
              <w:numPr>
                <w:ilvl w:val="0"/>
                <w:numId w:val="12"/>
              </w:numPr>
              <w:rPr>
                <w:rFonts w:cs="Calibri"/>
                <w:szCs w:val="22"/>
              </w:rPr>
            </w:pPr>
            <w:r>
              <w:rPr>
                <w:rFonts w:cs="Calibri"/>
                <w:szCs w:val="22"/>
              </w:rPr>
              <w:t>Service provision reviews</w:t>
            </w:r>
          </w:p>
          <w:p w:rsidR="00415D6E" w:rsidRDefault="00415D6E" w:rsidP="00A12BCE">
            <w:pPr>
              <w:pStyle w:val="ListParagraph"/>
              <w:numPr>
                <w:ilvl w:val="0"/>
                <w:numId w:val="12"/>
              </w:numPr>
              <w:rPr>
                <w:rFonts w:cs="Calibri"/>
                <w:szCs w:val="22"/>
              </w:rPr>
            </w:pPr>
            <w:r>
              <w:rPr>
                <w:rFonts w:cs="Calibri"/>
                <w:szCs w:val="22"/>
              </w:rPr>
              <w:t>Support activities</w:t>
            </w:r>
          </w:p>
          <w:p w:rsidR="00415D6E" w:rsidRDefault="00415D6E" w:rsidP="00A12BCE">
            <w:pPr>
              <w:pStyle w:val="ListParagraph"/>
              <w:numPr>
                <w:ilvl w:val="0"/>
                <w:numId w:val="12"/>
              </w:numPr>
              <w:rPr>
                <w:rFonts w:cs="Calibri"/>
                <w:szCs w:val="22"/>
              </w:rPr>
            </w:pPr>
            <w:r>
              <w:rPr>
                <w:rFonts w:cs="Calibri"/>
                <w:szCs w:val="22"/>
              </w:rPr>
              <w:t>Whānau hui</w:t>
            </w:r>
          </w:p>
          <w:p w:rsidR="00415D6E" w:rsidRDefault="00415D6E" w:rsidP="00A12BCE">
            <w:pPr>
              <w:pStyle w:val="ListParagraph"/>
              <w:numPr>
                <w:ilvl w:val="0"/>
                <w:numId w:val="12"/>
              </w:numPr>
              <w:rPr>
                <w:rFonts w:cs="Calibri"/>
                <w:szCs w:val="22"/>
              </w:rPr>
            </w:pPr>
            <w:r>
              <w:rPr>
                <w:rFonts w:cs="Calibri"/>
                <w:szCs w:val="22"/>
              </w:rPr>
              <w:t>When circumstances change, such as:</w:t>
            </w:r>
          </w:p>
          <w:p w:rsidR="00415D6E" w:rsidRDefault="00F23D64" w:rsidP="00A12BCE">
            <w:pPr>
              <w:pStyle w:val="ListParagraph"/>
              <w:numPr>
                <w:ilvl w:val="1"/>
                <w:numId w:val="12"/>
              </w:numPr>
              <w:ind w:left="884" w:hanging="284"/>
              <w:rPr>
                <w:rFonts w:cs="Calibri"/>
                <w:szCs w:val="22"/>
              </w:rPr>
            </w:pPr>
            <w:r>
              <w:rPr>
                <w:rFonts w:cs="Calibri"/>
                <w:szCs w:val="22"/>
              </w:rPr>
              <w:t xml:space="preserve">  </w:t>
            </w:r>
            <w:r w:rsidR="00415D6E">
              <w:rPr>
                <w:rFonts w:cs="Calibri"/>
                <w:szCs w:val="22"/>
              </w:rPr>
              <w:t>During a crisis</w:t>
            </w:r>
            <w:r>
              <w:rPr>
                <w:rFonts w:cs="Calibri"/>
                <w:szCs w:val="22"/>
              </w:rPr>
              <w:t>.</w:t>
            </w:r>
          </w:p>
          <w:p w:rsidR="00415D6E" w:rsidRPr="00DD14EC" w:rsidRDefault="00415D6E" w:rsidP="00A12BCE">
            <w:pPr>
              <w:numPr>
                <w:ilvl w:val="0"/>
                <w:numId w:val="13"/>
              </w:numPr>
              <w:rPr>
                <w:rFonts w:cs="Calibri"/>
                <w:szCs w:val="22"/>
              </w:rPr>
            </w:pPr>
            <w:r>
              <w:rPr>
                <w:rFonts w:cs="Calibri"/>
                <w:szCs w:val="22"/>
              </w:rPr>
              <w:t>T</w:t>
            </w:r>
            <w:r w:rsidRPr="00D41182">
              <w:rPr>
                <w:rFonts w:cs="Calibri"/>
                <w:szCs w:val="22"/>
              </w:rPr>
              <w:t xml:space="preserve">āngata whai ora/ tāngata whaikaha </w:t>
            </w:r>
            <w:r>
              <w:rPr>
                <w:rFonts w:cs="Calibri"/>
                <w:szCs w:val="22"/>
              </w:rPr>
              <w:t>request a safety discussion</w:t>
            </w:r>
            <w:r w:rsidR="00F23D64">
              <w:rPr>
                <w:rFonts w:cs="Calibri"/>
                <w:szCs w:val="22"/>
              </w:rPr>
              <w:t>.</w:t>
            </w:r>
          </w:p>
          <w:p w:rsidR="00415D6E" w:rsidRPr="00DD14EC" w:rsidRDefault="00415D6E" w:rsidP="00A12BCE">
            <w:pPr>
              <w:numPr>
                <w:ilvl w:val="0"/>
                <w:numId w:val="13"/>
              </w:numPr>
              <w:rPr>
                <w:rFonts w:cs="Calibri"/>
                <w:szCs w:val="22"/>
              </w:rPr>
            </w:pPr>
            <w:r w:rsidRPr="00DD14EC">
              <w:rPr>
                <w:rFonts w:cs="Calibri"/>
                <w:szCs w:val="22"/>
              </w:rPr>
              <w:t>After adverse events</w:t>
            </w:r>
          </w:p>
          <w:p w:rsidR="00415D6E" w:rsidRPr="00DD14EC" w:rsidRDefault="00415D6E" w:rsidP="00A12BCE">
            <w:pPr>
              <w:numPr>
                <w:ilvl w:val="0"/>
                <w:numId w:val="13"/>
              </w:numPr>
              <w:rPr>
                <w:rFonts w:cs="Calibri"/>
                <w:szCs w:val="22"/>
              </w:rPr>
            </w:pPr>
            <w:r w:rsidRPr="00DD14EC">
              <w:rPr>
                <w:rFonts w:cs="Calibri"/>
                <w:szCs w:val="22"/>
              </w:rPr>
              <w:t>Change in treatment/support setting</w:t>
            </w:r>
            <w:r w:rsidR="00F23D64">
              <w:rPr>
                <w:rFonts w:cs="Calibri"/>
                <w:szCs w:val="22"/>
              </w:rPr>
              <w:t>.</w:t>
            </w:r>
          </w:p>
          <w:p w:rsidR="00415D6E" w:rsidRDefault="00415D6E" w:rsidP="00A12BCE">
            <w:pPr>
              <w:numPr>
                <w:ilvl w:val="0"/>
                <w:numId w:val="13"/>
              </w:numPr>
              <w:rPr>
                <w:rFonts w:cs="Calibri"/>
                <w:szCs w:val="22"/>
              </w:rPr>
            </w:pPr>
            <w:r w:rsidRPr="00DD14EC">
              <w:rPr>
                <w:rFonts w:cs="Calibri"/>
                <w:szCs w:val="22"/>
              </w:rPr>
              <w:t>Change in level of contact</w:t>
            </w:r>
            <w:r w:rsidR="00F23D64">
              <w:rPr>
                <w:rFonts w:cs="Calibri"/>
                <w:szCs w:val="22"/>
              </w:rPr>
              <w:t>.</w:t>
            </w:r>
          </w:p>
          <w:p w:rsidR="00415D6E" w:rsidRPr="001206D1" w:rsidRDefault="00415D6E" w:rsidP="00A12BCE">
            <w:pPr>
              <w:numPr>
                <w:ilvl w:val="0"/>
                <w:numId w:val="13"/>
              </w:numPr>
              <w:rPr>
                <w:rFonts w:cs="Calibri"/>
                <w:szCs w:val="22"/>
              </w:rPr>
            </w:pPr>
            <w:r>
              <w:rPr>
                <w:rFonts w:cs="Calibri"/>
                <w:szCs w:val="22"/>
              </w:rPr>
              <w:t>At request of whānau or other service providers or support people</w:t>
            </w:r>
            <w:r w:rsidR="00F23D64">
              <w:rPr>
                <w:rFonts w:cs="Calibri"/>
                <w:szCs w:val="22"/>
              </w:rPr>
              <w:t>.</w:t>
            </w:r>
          </w:p>
        </w:tc>
        <w:tc>
          <w:tcPr>
            <w:tcW w:w="3193" w:type="dxa"/>
          </w:tcPr>
          <w:p w:rsidR="00415D6E" w:rsidRPr="00415D6E" w:rsidRDefault="00415D6E" w:rsidP="00415D6E">
            <w:pPr>
              <w:rPr>
                <w:rFonts w:cs="Calibri"/>
                <w:szCs w:val="22"/>
              </w:rPr>
            </w:pPr>
          </w:p>
          <w:p w:rsidR="00415D6E" w:rsidRPr="00415D6E" w:rsidRDefault="00415D6E" w:rsidP="00415D6E">
            <w:pPr>
              <w:rPr>
                <w:rFonts w:cs="Calibri"/>
                <w:szCs w:val="22"/>
              </w:rPr>
            </w:pPr>
          </w:p>
          <w:p w:rsidR="00415D6E" w:rsidRPr="00415D6E" w:rsidRDefault="00415D6E" w:rsidP="00415D6E">
            <w:pPr>
              <w:rPr>
                <w:rFonts w:cs="Calibri"/>
                <w:szCs w:val="22"/>
              </w:rPr>
            </w:pPr>
          </w:p>
          <w:p w:rsidR="00415D6E" w:rsidRPr="00415D6E" w:rsidRDefault="00415D6E" w:rsidP="00415D6E">
            <w:pPr>
              <w:rPr>
                <w:rFonts w:cs="Calibri"/>
                <w:szCs w:val="22"/>
              </w:rPr>
            </w:pPr>
          </w:p>
          <w:p w:rsidR="00415D6E" w:rsidRPr="00415D6E" w:rsidRDefault="00415D6E" w:rsidP="00415D6E">
            <w:pPr>
              <w:rPr>
                <w:rFonts w:cs="Calibri"/>
                <w:szCs w:val="22"/>
              </w:rPr>
            </w:pPr>
          </w:p>
          <w:p w:rsidR="00415D6E" w:rsidRPr="00415D6E" w:rsidRDefault="00415D6E" w:rsidP="00415D6E">
            <w:pPr>
              <w:rPr>
                <w:rFonts w:cs="Calibri"/>
                <w:szCs w:val="22"/>
              </w:rPr>
            </w:pPr>
          </w:p>
          <w:p w:rsidR="00415D6E" w:rsidRPr="00D41182" w:rsidRDefault="00415D6E" w:rsidP="00A12BCE">
            <w:pPr>
              <w:pStyle w:val="ListParagraph"/>
              <w:numPr>
                <w:ilvl w:val="0"/>
                <w:numId w:val="12"/>
              </w:numPr>
              <w:rPr>
                <w:rFonts w:cs="Calibri"/>
                <w:szCs w:val="22"/>
              </w:rPr>
            </w:pPr>
            <w:r w:rsidRPr="00D41182">
              <w:rPr>
                <w:rFonts w:cs="Calibri"/>
                <w:szCs w:val="22"/>
              </w:rPr>
              <w:t>Safety conversations are normalised.</w:t>
            </w:r>
          </w:p>
          <w:p w:rsidR="00415D6E" w:rsidRPr="00D41182" w:rsidRDefault="00415D6E" w:rsidP="00A12BCE">
            <w:pPr>
              <w:pStyle w:val="ListParagraph"/>
              <w:numPr>
                <w:ilvl w:val="0"/>
                <w:numId w:val="12"/>
              </w:numPr>
              <w:rPr>
                <w:rFonts w:cs="Calibri"/>
                <w:szCs w:val="22"/>
              </w:rPr>
            </w:pPr>
            <w:r w:rsidRPr="00D41182">
              <w:rPr>
                <w:rFonts w:cs="Calibri"/>
                <w:szCs w:val="22"/>
              </w:rPr>
              <w:t xml:space="preserve">Opportunities for </w:t>
            </w:r>
            <w:r w:rsidRPr="00D41182">
              <w:rPr>
                <w:rFonts w:cs="Calibri"/>
                <w:szCs w:val="22"/>
              </w:rPr>
              <w:t>tāngata whai ora/ tāngata whaikaha</w:t>
            </w:r>
            <w:r w:rsidRPr="00D41182">
              <w:rPr>
                <w:rFonts w:cs="Calibri"/>
                <w:szCs w:val="22"/>
              </w:rPr>
              <w:t xml:space="preserve"> living with safety issues/risks are recognised. </w:t>
            </w:r>
          </w:p>
          <w:p w:rsidR="00415D6E" w:rsidRPr="00D41182" w:rsidRDefault="00415D6E" w:rsidP="00A12BCE">
            <w:pPr>
              <w:pStyle w:val="ListParagraph"/>
              <w:numPr>
                <w:ilvl w:val="0"/>
                <w:numId w:val="12"/>
              </w:numPr>
              <w:rPr>
                <w:rFonts w:cs="Calibri"/>
                <w:szCs w:val="22"/>
              </w:rPr>
            </w:pPr>
            <w:r w:rsidRPr="00D41182">
              <w:rPr>
                <w:rFonts w:cs="Calibri"/>
                <w:szCs w:val="22"/>
              </w:rPr>
              <w:t xml:space="preserve">Responses to changes in safety/risk are timely. </w:t>
            </w:r>
          </w:p>
        </w:tc>
      </w:tr>
      <w:tr w:rsidR="00C25DDD" w:rsidTr="00C25DDD">
        <w:tc>
          <w:tcPr>
            <w:tcW w:w="1357" w:type="dxa"/>
            <w:shd w:val="clear" w:color="auto" w:fill="F2F2F2" w:themeFill="background1" w:themeFillShade="F2"/>
          </w:tcPr>
          <w:p w:rsidR="00DD0487" w:rsidRDefault="001206D1" w:rsidP="006E7C9E">
            <w:pPr>
              <w:rPr>
                <w:rFonts w:cs="Calibri"/>
                <w:b/>
                <w:szCs w:val="22"/>
              </w:rPr>
            </w:pPr>
            <w:r>
              <w:rPr>
                <w:rFonts w:cs="Calibri"/>
                <w:b/>
                <w:szCs w:val="22"/>
              </w:rPr>
              <w:t>T</w:t>
            </w:r>
            <w:r w:rsidR="00DD0487">
              <w:rPr>
                <w:rFonts w:cs="Calibri"/>
                <w:b/>
                <w:szCs w:val="22"/>
              </w:rPr>
              <w:t>ransition</w:t>
            </w:r>
          </w:p>
          <w:p w:rsidR="00DD0487" w:rsidRDefault="001206D1" w:rsidP="006E7C9E">
            <w:pPr>
              <w:rPr>
                <w:rFonts w:cs="Calibri"/>
                <w:b/>
                <w:szCs w:val="22"/>
              </w:rPr>
            </w:pPr>
            <w:r>
              <w:rPr>
                <w:rFonts w:cs="Calibri"/>
                <w:b/>
                <w:szCs w:val="22"/>
              </w:rPr>
              <w:t>T</w:t>
            </w:r>
            <w:r w:rsidR="00DD0487">
              <w:rPr>
                <w:rFonts w:cs="Calibri"/>
                <w:b/>
                <w:szCs w:val="22"/>
              </w:rPr>
              <w:t>ransfer</w:t>
            </w:r>
          </w:p>
          <w:p w:rsidR="00DD0487" w:rsidRDefault="00DD0487" w:rsidP="00DD0487">
            <w:pPr>
              <w:rPr>
                <w:rFonts w:cs="Calibri"/>
                <w:b/>
                <w:szCs w:val="22"/>
              </w:rPr>
            </w:pPr>
            <w:r>
              <w:rPr>
                <w:rFonts w:cs="Calibri"/>
                <w:b/>
                <w:szCs w:val="22"/>
              </w:rPr>
              <w:t>Discharge</w:t>
            </w:r>
          </w:p>
          <w:p w:rsidR="00DD0487" w:rsidRDefault="00DD0487" w:rsidP="006E7C9E">
            <w:pPr>
              <w:rPr>
                <w:rFonts w:cs="Calibri"/>
                <w:b/>
                <w:szCs w:val="22"/>
              </w:rPr>
            </w:pPr>
          </w:p>
        </w:tc>
        <w:tc>
          <w:tcPr>
            <w:tcW w:w="1660" w:type="dxa"/>
          </w:tcPr>
          <w:p w:rsidR="00415D6E" w:rsidRPr="00595F21" w:rsidRDefault="00F23D64" w:rsidP="00415D6E">
            <w:pPr>
              <w:rPr>
                <w:rFonts w:cs="Calibri"/>
                <w:szCs w:val="22"/>
              </w:rPr>
            </w:pPr>
            <w:r>
              <w:rPr>
                <w:rFonts w:cs="Calibri"/>
                <w:szCs w:val="22"/>
              </w:rPr>
              <w:t>t</w:t>
            </w:r>
            <w:r w:rsidR="00415D6E" w:rsidRPr="00595F21">
              <w:rPr>
                <w:rFonts w:cs="Calibri"/>
                <w:szCs w:val="22"/>
              </w:rPr>
              <w:t>āngata whai ora/tāngata whaika</w:t>
            </w:r>
            <w:r w:rsidR="00415D6E">
              <w:rPr>
                <w:rFonts w:cs="Calibri"/>
                <w:szCs w:val="22"/>
              </w:rPr>
              <w:t>ha</w:t>
            </w:r>
          </w:p>
          <w:p w:rsidR="00415D6E" w:rsidRDefault="00415D6E" w:rsidP="00415D6E">
            <w:pPr>
              <w:rPr>
                <w:rFonts w:cs="Calibri"/>
                <w:szCs w:val="22"/>
              </w:rPr>
            </w:pPr>
            <w:r w:rsidRPr="00595F21">
              <w:rPr>
                <w:rFonts w:cs="Calibri"/>
                <w:szCs w:val="22"/>
              </w:rPr>
              <w:t>whānau</w:t>
            </w:r>
          </w:p>
          <w:p w:rsidR="00415D6E" w:rsidRDefault="00415D6E" w:rsidP="00415D6E">
            <w:pPr>
              <w:rPr>
                <w:rFonts w:cs="Calibri"/>
                <w:szCs w:val="22"/>
              </w:rPr>
            </w:pPr>
            <w:r w:rsidRPr="00595F21">
              <w:rPr>
                <w:rFonts w:cs="Calibri"/>
                <w:szCs w:val="22"/>
              </w:rPr>
              <w:t>our service</w:t>
            </w:r>
          </w:p>
          <w:p w:rsidR="00415D6E" w:rsidRPr="00595F21" w:rsidRDefault="00415D6E" w:rsidP="00415D6E">
            <w:pPr>
              <w:rPr>
                <w:rFonts w:cs="Calibri"/>
                <w:szCs w:val="22"/>
              </w:rPr>
            </w:pPr>
            <w:r>
              <w:rPr>
                <w:rFonts w:cs="Calibri"/>
                <w:szCs w:val="22"/>
              </w:rPr>
              <w:t>other service providers</w:t>
            </w:r>
          </w:p>
          <w:p w:rsidR="006B0586" w:rsidRPr="006B0586" w:rsidRDefault="00415D6E" w:rsidP="00F23D64">
            <w:pPr>
              <w:rPr>
                <w:rFonts w:cs="Calibri"/>
                <w:b/>
                <w:szCs w:val="22"/>
              </w:rPr>
            </w:pPr>
            <w:r w:rsidRPr="00595F21">
              <w:rPr>
                <w:rFonts w:cs="Calibri"/>
                <w:szCs w:val="22"/>
              </w:rPr>
              <w:t xml:space="preserve">peer </w:t>
            </w:r>
            <w:r>
              <w:rPr>
                <w:rFonts w:cs="Calibri"/>
                <w:szCs w:val="22"/>
              </w:rPr>
              <w:t>practitioner</w:t>
            </w:r>
            <w:r w:rsidR="00F23D64">
              <w:rPr>
                <w:rFonts w:cs="Calibri"/>
                <w:szCs w:val="22"/>
              </w:rPr>
              <w:t xml:space="preserve"> </w:t>
            </w:r>
            <w:r w:rsidRPr="00595F21">
              <w:rPr>
                <w:rFonts w:cs="Calibri"/>
                <w:szCs w:val="22"/>
              </w:rPr>
              <w:t xml:space="preserve">cultural </w:t>
            </w:r>
            <w:r>
              <w:rPr>
                <w:rFonts w:cs="Calibri"/>
                <w:szCs w:val="22"/>
              </w:rPr>
              <w:t>practitioner</w:t>
            </w:r>
          </w:p>
        </w:tc>
        <w:tc>
          <w:tcPr>
            <w:tcW w:w="3571" w:type="dxa"/>
          </w:tcPr>
          <w:p w:rsidR="00DD0487" w:rsidRPr="001206D1" w:rsidRDefault="00415D6E" w:rsidP="00A12BCE">
            <w:pPr>
              <w:pStyle w:val="ListParagraph"/>
              <w:numPr>
                <w:ilvl w:val="0"/>
                <w:numId w:val="14"/>
              </w:numPr>
              <w:rPr>
                <w:rFonts w:cs="Calibri"/>
                <w:color w:val="auto"/>
                <w:szCs w:val="22"/>
              </w:rPr>
            </w:pPr>
            <w:r>
              <w:rPr>
                <w:rFonts w:cs="Calibri"/>
                <w:color w:val="auto"/>
                <w:szCs w:val="22"/>
              </w:rPr>
              <w:t>Transition/transfer/d</w:t>
            </w:r>
            <w:r w:rsidR="00DD0487" w:rsidRPr="001206D1">
              <w:rPr>
                <w:rFonts w:cs="Calibri"/>
                <w:color w:val="auto"/>
                <w:szCs w:val="22"/>
              </w:rPr>
              <w:t>ischarge support includes the identification of safety</w:t>
            </w:r>
            <w:r>
              <w:rPr>
                <w:rFonts w:cs="Calibri"/>
                <w:color w:val="auto"/>
                <w:szCs w:val="22"/>
              </w:rPr>
              <w:t>/</w:t>
            </w:r>
            <w:r w:rsidR="00DD0487" w:rsidRPr="001206D1">
              <w:rPr>
                <w:rFonts w:cs="Calibri"/>
                <w:color w:val="auto"/>
                <w:szCs w:val="22"/>
              </w:rPr>
              <w:t>risk issues.</w:t>
            </w:r>
          </w:p>
          <w:p w:rsidR="00415D6E" w:rsidRPr="00415D6E" w:rsidRDefault="00DD0487" w:rsidP="00A12BCE">
            <w:pPr>
              <w:pStyle w:val="ListParagraph"/>
              <w:numPr>
                <w:ilvl w:val="0"/>
                <w:numId w:val="14"/>
              </w:numPr>
              <w:rPr>
                <w:rFonts w:cs="Calibri"/>
                <w:szCs w:val="22"/>
              </w:rPr>
            </w:pPr>
            <w:r w:rsidRPr="00415D6E">
              <w:rPr>
                <w:rFonts w:cs="Calibri"/>
                <w:szCs w:val="22"/>
              </w:rPr>
              <w:t>A safety plan is</w:t>
            </w:r>
            <w:r w:rsidR="00F23D64">
              <w:rPr>
                <w:rFonts w:cs="Calibri"/>
                <w:szCs w:val="22"/>
              </w:rPr>
              <w:t xml:space="preserve"> in</w:t>
            </w:r>
            <w:r w:rsidRPr="00415D6E">
              <w:rPr>
                <w:rFonts w:cs="Calibri"/>
                <w:szCs w:val="22"/>
              </w:rPr>
              <w:t xml:space="preserve"> place and discussed </w:t>
            </w:r>
            <w:r w:rsidR="00415D6E" w:rsidRPr="00415D6E">
              <w:rPr>
                <w:rFonts w:cs="Calibri"/>
                <w:szCs w:val="22"/>
              </w:rPr>
              <w:t xml:space="preserve">using the hui process </w:t>
            </w:r>
            <w:r w:rsidRPr="00415D6E">
              <w:rPr>
                <w:rFonts w:cs="Calibri"/>
                <w:szCs w:val="22"/>
              </w:rPr>
              <w:t xml:space="preserve">before the </w:t>
            </w:r>
            <w:r w:rsidR="00415D6E" w:rsidRPr="00415D6E">
              <w:rPr>
                <w:rFonts w:cs="Calibri"/>
                <w:szCs w:val="22"/>
              </w:rPr>
              <w:t xml:space="preserve">change in </w:t>
            </w:r>
            <w:r w:rsidR="00415D6E">
              <w:rPr>
                <w:rFonts w:cs="Calibri"/>
                <w:szCs w:val="22"/>
              </w:rPr>
              <w:t xml:space="preserve">support setting for </w:t>
            </w:r>
            <w:r w:rsidR="00415D6E" w:rsidRPr="00415D6E">
              <w:rPr>
                <w:rFonts w:cs="Calibri"/>
                <w:szCs w:val="22"/>
              </w:rPr>
              <w:t>tāngata whai ora/tāngata whaikaha</w:t>
            </w:r>
            <w:r w:rsidR="00415D6E">
              <w:rPr>
                <w:rFonts w:cs="Calibri"/>
                <w:szCs w:val="22"/>
              </w:rPr>
              <w:t xml:space="preserve"> is happening.</w:t>
            </w:r>
          </w:p>
          <w:p w:rsidR="006B0586" w:rsidRPr="00415D6E" w:rsidRDefault="006B0586" w:rsidP="00415D6E">
            <w:pPr>
              <w:rPr>
                <w:rFonts w:cs="Calibri"/>
                <w:b/>
                <w:szCs w:val="22"/>
              </w:rPr>
            </w:pPr>
          </w:p>
        </w:tc>
        <w:tc>
          <w:tcPr>
            <w:tcW w:w="3193" w:type="dxa"/>
          </w:tcPr>
          <w:p w:rsidR="00991FEB" w:rsidRDefault="00991FEB" w:rsidP="00991FEB">
            <w:pPr>
              <w:rPr>
                <w:rFonts w:cs="Calibri"/>
                <w:szCs w:val="22"/>
              </w:rPr>
            </w:pPr>
            <w:r w:rsidRPr="00991FEB">
              <w:rPr>
                <w:rFonts w:cs="Calibri"/>
                <w:szCs w:val="22"/>
              </w:rPr>
              <w:t>The safety plan</w:t>
            </w:r>
            <w:r>
              <w:rPr>
                <w:rFonts w:cs="Calibri"/>
                <w:szCs w:val="22"/>
              </w:rPr>
              <w:t>:</w:t>
            </w:r>
          </w:p>
          <w:p w:rsidR="00991FEB" w:rsidRPr="00991FEB" w:rsidRDefault="00991FEB" w:rsidP="00A12BCE">
            <w:pPr>
              <w:pStyle w:val="ListParagraph"/>
              <w:numPr>
                <w:ilvl w:val="0"/>
                <w:numId w:val="15"/>
              </w:numPr>
              <w:rPr>
                <w:rFonts w:cs="Calibri"/>
                <w:szCs w:val="22"/>
              </w:rPr>
            </w:pPr>
            <w:r w:rsidRPr="00991FEB">
              <w:rPr>
                <w:rFonts w:cs="Calibri"/>
                <w:szCs w:val="22"/>
              </w:rPr>
              <w:t>Includes triggers</w:t>
            </w:r>
            <w:r>
              <w:rPr>
                <w:rFonts w:cs="Calibri"/>
                <w:szCs w:val="22"/>
              </w:rPr>
              <w:t>, early warning signs</w:t>
            </w:r>
            <w:r w:rsidRPr="00991FEB">
              <w:rPr>
                <w:rFonts w:cs="Calibri"/>
                <w:szCs w:val="22"/>
              </w:rPr>
              <w:t xml:space="preserve"> and a relapse prevention plan.</w:t>
            </w:r>
          </w:p>
          <w:p w:rsidR="00991FEB" w:rsidRDefault="00991FEB" w:rsidP="00A12BCE">
            <w:pPr>
              <w:pStyle w:val="ListParagraph"/>
              <w:numPr>
                <w:ilvl w:val="0"/>
                <w:numId w:val="14"/>
              </w:numPr>
              <w:rPr>
                <w:rFonts w:cs="Calibri"/>
                <w:szCs w:val="22"/>
              </w:rPr>
            </w:pPr>
            <w:r>
              <w:rPr>
                <w:rFonts w:cs="Calibri"/>
                <w:szCs w:val="22"/>
              </w:rPr>
              <w:t>C</w:t>
            </w:r>
            <w:r w:rsidRPr="00991FEB">
              <w:rPr>
                <w:rFonts w:cs="Calibri"/>
                <w:szCs w:val="22"/>
              </w:rPr>
              <w:t xml:space="preserve">onsiders the change in </w:t>
            </w:r>
            <w:r w:rsidRPr="00991FEB">
              <w:rPr>
                <w:rFonts w:cs="Calibri"/>
                <w:szCs w:val="22"/>
              </w:rPr>
              <w:t>tāngata whai ora/tāngata whaikaha</w:t>
            </w:r>
            <w:r>
              <w:rPr>
                <w:rFonts w:cs="Calibri"/>
                <w:szCs w:val="22"/>
              </w:rPr>
              <w:t xml:space="preserve"> recovery journey.</w:t>
            </w:r>
          </w:p>
          <w:p w:rsidR="00991FEB" w:rsidRPr="00F23D64" w:rsidRDefault="00991FEB" w:rsidP="00F23D64">
            <w:pPr>
              <w:rPr>
                <w:rFonts w:cs="Calibri"/>
                <w:szCs w:val="22"/>
              </w:rPr>
            </w:pPr>
          </w:p>
        </w:tc>
      </w:tr>
    </w:tbl>
    <w:p w:rsidR="00565727" w:rsidRPr="00DD14EC" w:rsidRDefault="00825F75" w:rsidP="0033337E">
      <w:pPr>
        <w:tabs>
          <w:tab w:val="left" w:pos="7275"/>
        </w:tabs>
        <w:rPr>
          <w:rFonts w:cs="Calibri"/>
          <w:szCs w:val="22"/>
        </w:rPr>
      </w:pPr>
      <w:r w:rsidRPr="00DD14EC">
        <w:rPr>
          <w:rFonts w:cs="Calibri"/>
          <w:szCs w:val="22"/>
        </w:rPr>
        <w:tab/>
      </w:r>
    </w:p>
    <w:p w:rsidR="00565727" w:rsidRPr="00DD14EC" w:rsidRDefault="00565727" w:rsidP="005238BC">
      <w:pPr>
        <w:pStyle w:val="Heading1"/>
        <w:rPr>
          <w:rFonts w:ascii="Calibri" w:hAnsi="Calibri" w:cs="Calibri"/>
          <w:color w:val="000000"/>
        </w:rPr>
      </w:pPr>
    </w:p>
    <w:p w:rsidR="00565727" w:rsidRPr="00DD14EC" w:rsidRDefault="00565727" w:rsidP="005238BC">
      <w:pPr>
        <w:pStyle w:val="Heading1"/>
        <w:rPr>
          <w:rFonts w:ascii="Calibri" w:hAnsi="Calibri" w:cs="Calibri"/>
          <w:color w:val="000000"/>
        </w:rPr>
      </w:pPr>
    </w:p>
    <w:p w:rsidR="00972C64" w:rsidRPr="00DD14EC" w:rsidRDefault="00972C64" w:rsidP="005238BC">
      <w:pPr>
        <w:rPr>
          <w:rFonts w:cs="Calibri"/>
          <w:szCs w:val="22"/>
        </w:rPr>
      </w:pPr>
    </w:p>
    <w:sectPr w:rsidR="00972C64" w:rsidRPr="00DD14EC" w:rsidSect="00945799">
      <w:headerReference w:type="even" r:id="rId15"/>
      <w:headerReference w:type="default" r:id="rId16"/>
      <w:footerReference w:type="default" r:id="rId17"/>
      <w:headerReference w:type="first" r:id="rId18"/>
      <w:pgSz w:w="11906" w:h="16838"/>
      <w:pgMar w:top="1440" w:right="1133" w:bottom="993"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CE" w:rsidRDefault="00A12BCE">
      <w:r>
        <w:separator/>
      </w:r>
    </w:p>
  </w:endnote>
  <w:endnote w:type="continuationSeparator" w:id="0">
    <w:p w:rsidR="00A12BCE" w:rsidRDefault="00A1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212" w:rsidRPr="00C97772" w:rsidRDefault="00664212" w:rsidP="006211C1">
    <w:pPr>
      <w:pStyle w:val="Footer"/>
      <w:rPr>
        <w:b/>
        <w:szCs w:val="16"/>
      </w:rPr>
    </w:pPr>
  </w:p>
  <w:tbl>
    <w:tblPr>
      <w:tblW w:w="10804"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458"/>
      <w:gridCol w:w="858"/>
      <w:gridCol w:w="1046"/>
      <w:gridCol w:w="1297"/>
      <w:gridCol w:w="1354"/>
      <w:gridCol w:w="945"/>
      <w:gridCol w:w="1134"/>
      <w:gridCol w:w="1701"/>
      <w:gridCol w:w="1037"/>
    </w:tblGrid>
    <w:tr w:rsidR="00C97772" w:rsidRPr="00C97772" w:rsidTr="0034248E">
      <w:trPr>
        <w:trHeight w:val="306"/>
      </w:trPr>
      <w:tc>
        <w:tcPr>
          <w:tcW w:w="974" w:type="dxa"/>
          <w:tcBorders>
            <w:top w:val="single" w:sz="4" w:space="0" w:color="auto"/>
            <w:left w:val="single" w:sz="4" w:space="0" w:color="auto"/>
            <w:bottom w:val="single" w:sz="4" w:space="0" w:color="auto"/>
            <w:right w:val="single" w:sz="4" w:space="0" w:color="auto"/>
          </w:tcBorders>
          <w:hideMark/>
        </w:tcPr>
        <w:p w:rsidR="00664212" w:rsidRPr="00C97772" w:rsidRDefault="00664212" w:rsidP="00664212">
          <w:pPr>
            <w:pStyle w:val="Footer"/>
            <w:rPr>
              <w:rFonts w:asciiTheme="minorHAnsi" w:hAnsiTheme="minorHAnsi" w:cstheme="minorHAnsi"/>
              <w:b/>
              <w:szCs w:val="22"/>
            </w:rPr>
          </w:pPr>
          <w:r w:rsidRPr="00C97772">
            <w:rPr>
              <w:rFonts w:asciiTheme="minorHAnsi" w:hAnsiTheme="minorHAnsi" w:cstheme="minorHAnsi"/>
              <w:b/>
              <w:szCs w:val="22"/>
            </w:rPr>
            <w:t>Version:</w:t>
          </w:r>
        </w:p>
      </w:tc>
      <w:tc>
        <w:tcPr>
          <w:tcW w:w="458" w:type="dxa"/>
          <w:tcBorders>
            <w:top w:val="single" w:sz="4" w:space="0" w:color="auto"/>
            <w:left w:val="single" w:sz="4" w:space="0" w:color="auto"/>
            <w:bottom w:val="single" w:sz="4" w:space="0" w:color="auto"/>
            <w:right w:val="single" w:sz="4" w:space="0" w:color="auto"/>
          </w:tcBorders>
          <w:hideMark/>
        </w:tcPr>
        <w:p w:rsidR="00664212" w:rsidRPr="00C97772" w:rsidRDefault="00664212" w:rsidP="00C97772">
          <w:pPr>
            <w:pStyle w:val="Footer"/>
            <w:rPr>
              <w:rFonts w:asciiTheme="minorHAnsi" w:hAnsiTheme="minorHAnsi" w:cstheme="minorHAnsi"/>
              <w:b/>
              <w:szCs w:val="22"/>
            </w:rPr>
          </w:pPr>
          <w:r w:rsidRPr="00C97772">
            <w:rPr>
              <w:rFonts w:asciiTheme="minorHAnsi" w:hAnsiTheme="minorHAnsi" w:cstheme="minorHAnsi"/>
              <w:b/>
              <w:szCs w:val="22"/>
            </w:rPr>
            <w:t>V</w:t>
          </w:r>
          <w:r w:rsidR="00C97772" w:rsidRPr="00C97772">
            <w:rPr>
              <w:rFonts w:asciiTheme="minorHAnsi" w:hAnsiTheme="minorHAnsi" w:cstheme="minorHAnsi"/>
              <w:b/>
              <w:szCs w:val="22"/>
            </w:rPr>
            <w:t>3</w:t>
          </w:r>
        </w:p>
      </w:tc>
      <w:tc>
        <w:tcPr>
          <w:tcW w:w="858" w:type="dxa"/>
          <w:tcBorders>
            <w:top w:val="single" w:sz="4" w:space="0" w:color="auto"/>
            <w:left w:val="single" w:sz="4" w:space="0" w:color="auto"/>
            <w:bottom w:val="single" w:sz="4" w:space="0" w:color="auto"/>
            <w:right w:val="single" w:sz="4" w:space="0" w:color="auto"/>
          </w:tcBorders>
          <w:hideMark/>
        </w:tcPr>
        <w:p w:rsidR="00664212" w:rsidRPr="00C97772" w:rsidRDefault="00664212" w:rsidP="00664212">
          <w:pPr>
            <w:pStyle w:val="Footer"/>
            <w:rPr>
              <w:rFonts w:asciiTheme="minorHAnsi" w:hAnsiTheme="minorHAnsi" w:cstheme="minorHAnsi"/>
              <w:b/>
              <w:szCs w:val="22"/>
            </w:rPr>
          </w:pPr>
          <w:r w:rsidRPr="00C97772">
            <w:rPr>
              <w:rFonts w:asciiTheme="minorHAnsi" w:hAnsiTheme="minorHAnsi" w:cstheme="minorHAnsi"/>
              <w:b/>
              <w:szCs w:val="22"/>
            </w:rPr>
            <w:t>Issued</w:t>
          </w:r>
          <w:r w:rsidR="00C97772">
            <w:rPr>
              <w:rFonts w:asciiTheme="minorHAnsi" w:hAnsiTheme="minorHAnsi" w:cstheme="minorHAnsi"/>
              <w:b/>
              <w:szCs w:val="22"/>
            </w:rPr>
            <w:t>:</w:t>
          </w:r>
          <w:r w:rsidRPr="00C97772">
            <w:rPr>
              <w:rFonts w:asciiTheme="minorHAnsi" w:hAnsiTheme="minorHAnsi" w:cstheme="minorHAnsi"/>
              <w:b/>
              <w:szCs w:val="22"/>
            </w:rPr>
            <w:t xml:space="preserve"> </w:t>
          </w:r>
        </w:p>
      </w:tc>
      <w:tc>
        <w:tcPr>
          <w:tcW w:w="1046" w:type="dxa"/>
          <w:tcBorders>
            <w:top w:val="single" w:sz="4" w:space="0" w:color="auto"/>
            <w:left w:val="single" w:sz="4" w:space="0" w:color="auto"/>
            <w:bottom w:val="single" w:sz="4" w:space="0" w:color="auto"/>
            <w:right w:val="single" w:sz="4" w:space="0" w:color="auto"/>
          </w:tcBorders>
        </w:tcPr>
        <w:p w:rsidR="00664212" w:rsidRPr="00C97772" w:rsidRDefault="00C97772" w:rsidP="00664212">
          <w:pPr>
            <w:pStyle w:val="Footer"/>
            <w:rPr>
              <w:rFonts w:asciiTheme="minorHAnsi" w:hAnsiTheme="minorHAnsi" w:cstheme="minorHAnsi"/>
              <w:b/>
              <w:szCs w:val="22"/>
            </w:rPr>
          </w:pPr>
          <w:r w:rsidRPr="00C97772">
            <w:rPr>
              <w:rFonts w:asciiTheme="minorHAnsi" w:hAnsiTheme="minorHAnsi" w:cstheme="minorHAnsi"/>
              <w:b/>
              <w:szCs w:val="22"/>
            </w:rPr>
            <w:t>Feb 2024</w:t>
          </w:r>
        </w:p>
      </w:tc>
      <w:tc>
        <w:tcPr>
          <w:tcW w:w="1297" w:type="dxa"/>
          <w:tcBorders>
            <w:top w:val="single" w:sz="4" w:space="0" w:color="auto"/>
            <w:left w:val="single" w:sz="4" w:space="0" w:color="auto"/>
            <w:bottom w:val="single" w:sz="4" w:space="0" w:color="auto"/>
            <w:right w:val="single" w:sz="4" w:space="0" w:color="auto"/>
          </w:tcBorders>
          <w:hideMark/>
        </w:tcPr>
        <w:p w:rsidR="00664212" w:rsidRPr="00C97772" w:rsidRDefault="00664212" w:rsidP="00664212">
          <w:pPr>
            <w:pStyle w:val="Footer"/>
            <w:rPr>
              <w:rFonts w:asciiTheme="minorHAnsi" w:hAnsiTheme="minorHAnsi" w:cstheme="minorHAnsi"/>
              <w:b/>
              <w:szCs w:val="22"/>
            </w:rPr>
          </w:pPr>
          <w:r w:rsidRPr="00C97772">
            <w:rPr>
              <w:rFonts w:asciiTheme="minorHAnsi" w:hAnsiTheme="minorHAnsi" w:cstheme="minorHAnsi"/>
              <w:b/>
              <w:szCs w:val="22"/>
            </w:rPr>
            <w:t>Created by:</w:t>
          </w:r>
        </w:p>
      </w:tc>
      <w:tc>
        <w:tcPr>
          <w:tcW w:w="1354" w:type="dxa"/>
          <w:tcBorders>
            <w:top w:val="single" w:sz="4" w:space="0" w:color="auto"/>
            <w:left w:val="single" w:sz="4" w:space="0" w:color="auto"/>
            <w:bottom w:val="single" w:sz="4" w:space="0" w:color="auto"/>
            <w:right w:val="single" w:sz="4" w:space="0" w:color="auto"/>
          </w:tcBorders>
          <w:hideMark/>
        </w:tcPr>
        <w:p w:rsidR="00664212" w:rsidRPr="00C97772" w:rsidRDefault="00664212" w:rsidP="00664212">
          <w:pPr>
            <w:pStyle w:val="Footer"/>
            <w:rPr>
              <w:rFonts w:asciiTheme="minorHAnsi" w:hAnsiTheme="minorHAnsi" w:cstheme="minorHAnsi"/>
              <w:b/>
              <w:szCs w:val="22"/>
            </w:rPr>
          </w:pPr>
          <w:r w:rsidRPr="00C97772">
            <w:rPr>
              <w:rFonts w:asciiTheme="minorHAnsi" w:hAnsiTheme="minorHAnsi" w:cstheme="minorHAnsi"/>
              <w:b/>
              <w:szCs w:val="22"/>
            </w:rPr>
            <w:t>GSHarnisch</w:t>
          </w:r>
        </w:p>
      </w:tc>
      <w:tc>
        <w:tcPr>
          <w:tcW w:w="945" w:type="dxa"/>
        </w:tcPr>
        <w:p w:rsidR="00664212" w:rsidRPr="00C97772" w:rsidRDefault="00664212" w:rsidP="00664212">
          <w:pPr>
            <w:pStyle w:val="Footer"/>
            <w:rPr>
              <w:rFonts w:asciiTheme="minorHAnsi" w:hAnsiTheme="minorHAnsi" w:cstheme="minorHAnsi"/>
              <w:b/>
              <w:szCs w:val="22"/>
            </w:rPr>
          </w:pPr>
          <w:r w:rsidRPr="00C97772">
            <w:rPr>
              <w:rFonts w:asciiTheme="minorHAnsi" w:hAnsiTheme="minorHAnsi" w:cstheme="minorHAnsi"/>
              <w:b/>
              <w:szCs w:val="22"/>
            </w:rPr>
            <w:t>Review</w:t>
          </w:r>
          <w:r w:rsidR="00C97772">
            <w:rPr>
              <w:rFonts w:asciiTheme="minorHAnsi" w:hAnsiTheme="minorHAnsi" w:cstheme="minorHAnsi"/>
              <w:b/>
              <w:szCs w:val="22"/>
            </w:rPr>
            <w:t>:</w:t>
          </w:r>
          <w:r w:rsidRPr="00C97772">
            <w:rPr>
              <w:rFonts w:asciiTheme="minorHAnsi" w:hAnsiTheme="minorHAnsi" w:cstheme="minorHAnsi"/>
              <w:b/>
              <w:szCs w:val="22"/>
            </w:rPr>
            <w:t xml:space="preserve"> </w:t>
          </w:r>
        </w:p>
      </w:tc>
      <w:tc>
        <w:tcPr>
          <w:tcW w:w="1134" w:type="dxa"/>
        </w:tcPr>
        <w:p w:rsidR="00664212" w:rsidRPr="00C97772" w:rsidRDefault="00C97772" w:rsidP="00664212">
          <w:pPr>
            <w:pStyle w:val="Footer"/>
            <w:rPr>
              <w:rFonts w:asciiTheme="minorHAnsi" w:hAnsiTheme="minorHAnsi" w:cstheme="minorHAnsi"/>
              <w:b/>
              <w:szCs w:val="22"/>
            </w:rPr>
          </w:pPr>
          <w:r>
            <w:rPr>
              <w:rFonts w:asciiTheme="minorHAnsi" w:hAnsiTheme="minorHAnsi" w:cstheme="minorHAnsi"/>
              <w:b/>
              <w:szCs w:val="22"/>
            </w:rPr>
            <w:t>Feb 2027</w:t>
          </w:r>
        </w:p>
      </w:tc>
      <w:tc>
        <w:tcPr>
          <w:tcW w:w="1701" w:type="dxa"/>
        </w:tcPr>
        <w:p w:rsidR="00664212" w:rsidRPr="00C97772" w:rsidRDefault="00664212" w:rsidP="00664212">
          <w:pPr>
            <w:pStyle w:val="Footer"/>
            <w:rPr>
              <w:rFonts w:asciiTheme="minorHAnsi" w:hAnsiTheme="minorHAnsi" w:cstheme="minorHAnsi"/>
              <w:b/>
              <w:szCs w:val="22"/>
            </w:rPr>
          </w:pPr>
          <w:r w:rsidRPr="00C97772">
            <w:rPr>
              <w:rFonts w:asciiTheme="minorHAnsi" w:hAnsiTheme="minorHAnsi" w:cstheme="minorHAnsi"/>
              <w:b/>
              <w:szCs w:val="22"/>
            </w:rPr>
            <w:t>Authorised by:</w:t>
          </w:r>
        </w:p>
      </w:tc>
      <w:tc>
        <w:tcPr>
          <w:tcW w:w="1037" w:type="dxa"/>
        </w:tcPr>
        <w:p w:rsidR="00664212" w:rsidRPr="00C97772" w:rsidRDefault="00664212" w:rsidP="00664212">
          <w:pPr>
            <w:pStyle w:val="Footer"/>
            <w:rPr>
              <w:rFonts w:asciiTheme="minorHAnsi" w:hAnsiTheme="minorHAnsi" w:cstheme="minorHAnsi"/>
              <w:b/>
              <w:szCs w:val="22"/>
            </w:rPr>
          </w:pPr>
        </w:p>
      </w:tc>
    </w:tr>
  </w:tbl>
  <w:p w:rsidR="00EC2C3F" w:rsidRPr="00DC36D6" w:rsidRDefault="00EC2C3F" w:rsidP="006211C1">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CE" w:rsidRDefault="00A12BCE">
      <w:r>
        <w:separator/>
      </w:r>
    </w:p>
  </w:footnote>
  <w:footnote w:type="continuationSeparator" w:id="0">
    <w:p w:rsidR="00A12BCE" w:rsidRDefault="00A12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AE" w:rsidRDefault="00A12B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8.4pt;height:117.1pt;rotation:315;z-index:-251659264;mso-position-horizontal:center;mso-position-horizontal-relative:margin;mso-position-vertical:center;mso-position-vertical-relative:margin" o:allowincell="f" fillcolor="#cff" stroked="f">
          <v:fill opacity=".5"/>
          <v:textpath style="font-family:&quot;Times New Roman&quot;;font-size:1pt" string="version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212" w:rsidRPr="00C97772" w:rsidRDefault="00664212">
    <w:pPr>
      <w:pStyle w:val="Header"/>
      <w:rPr>
        <w:b/>
      </w:rPr>
    </w:pPr>
  </w:p>
  <w:p w:rsidR="00664212" w:rsidRPr="00C97772" w:rsidRDefault="00664212" w:rsidP="00664212">
    <w:pPr>
      <w:pStyle w:val="Header"/>
      <w:rPr>
        <w:b/>
      </w:rPr>
    </w:pPr>
  </w:p>
  <w:p w:rsidR="00664212" w:rsidRPr="00C97772" w:rsidRDefault="00FC0313" w:rsidP="00664212">
    <w:pPr>
      <w:pStyle w:val="Header"/>
      <w:jc w:val="right"/>
      <w:rPr>
        <w:rFonts w:asciiTheme="minorHAnsi" w:hAnsiTheme="minorHAnsi" w:cstheme="minorHAnsi"/>
        <w:b/>
        <w:szCs w:val="22"/>
      </w:rPr>
    </w:pPr>
    <w:r w:rsidRPr="00C97772">
      <w:rPr>
        <w:rFonts w:asciiTheme="minorHAnsi" w:hAnsiTheme="minorHAnsi" w:cstheme="minorHAnsi"/>
        <w:b/>
        <w:noProof/>
        <w:szCs w:val="22"/>
        <w:lang w:val="en-NZ" w:eastAsia="en-NZ"/>
      </w:rPr>
      <mc:AlternateContent>
        <mc:Choice Requires="wps">
          <w:drawing>
            <wp:anchor distT="0" distB="0" distL="114300" distR="114300" simplePos="0" relativeHeight="251660288" behindDoc="0" locked="0" layoutInCell="1" allowOverlap="1">
              <wp:simplePos x="0" y="0"/>
              <wp:positionH relativeFrom="column">
                <wp:posOffset>-655320</wp:posOffset>
              </wp:positionH>
              <wp:positionV relativeFrom="paragraph">
                <wp:posOffset>-163830</wp:posOffset>
              </wp:positionV>
              <wp:extent cx="1085850" cy="3048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noFill/>
                        <a:miter lim="800000"/>
                        <a:headEnd/>
                        <a:tailEnd/>
                      </a:ln>
                    </wps:spPr>
                    <wps:txbx>
                      <w:txbxContent>
                        <w:p w:rsidR="00664212" w:rsidRPr="000225E4" w:rsidRDefault="00664212" w:rsidP="00664212">
                          <w:pPr>
                            <w:rPr>
                              <w:rFonts w:asciiTheme="minorHAnsi" w:hAnsiTheme="minorHAnsi" w:cstheme="minorHAnsi"/>
                            </w:rPr>
                          </w:pPr>
                          <w:r w:rsidRPr="000225E4">
                            <w:rPr>
                              <w:rFonts w:asciiTheme="minorHAnsi" w:hAnsiTheme="minorHAnsi" w:cstheme="minorHAnsi"/>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1.6pt;margin-top:-12.9pt;width:85.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" stroked="f">
              <v:textbox>
                <w:txbxContent>
                  <w:p w:rsidR="00664212" w:rsidRPr="000225E4" w:rsidRDefault="00664212" w:rsidP="00664212">
                    <w:pPr>
                      <w:rPr>
                        <w:rFonts w:asciiTheme="minorHAnsi" w:hAnsiTheme="minorHAnsi" w:cstheme="minorHAnsi"/>
                      </w:rPr>
                    </w:pPr>
                    <w:r w:rsidRPr="000225E4">
                      <w:rPr>
                        <w:rFonts w:asciiTheme="minorHAnsi" w:hAnsiTheme="minorHAnsi" w:cstheme="minorHAnsi"/>
                        <w:highlight w:val="lightGray"/>
                      </w:rPr>
                      <w:t>Service Logo</w:t>
                    </w:r>
                  </w:p>
                </w:txbxContent>
              </v:textbox>
            </v:shape>
          </w:pict>
        </mc:Fallback>
      </mc:AlternateContent>
    </w:r>
    <w:r w:rsidR="00664212" w:rsidRPr="00C97772">
      <w:rPr>
        <w:rFonts w:asciiTheme="minorHAnsi" w:hAnsiTheme="minorHAnsi" w:cstheme="minorHAnsi"/>
        <w:b/>
        <w:szCs w:val="22"/>
      </w:rPr>
      <w:t xml:space="preserve">Page </w:t>
    </w:r>
    <w:r w:rsidR="00F644D7" w:rsidRPr="00C97772">
      <w:rPr>
        <w:rFonts w:asciiTheme="minorHAnsi" w:hAnsiTheme="minorHAnsi" w:cstheme="minorHAnsi"/>
        <w:b/>
        <w:bCs/>
        <w:szCs w:val="22"/>
      </w:rPr>
      <w:fldChar w:fldCharType="begin"/>
    </w:r>
    <w:r w:rsidR="00664212" w:rsidRPr="00C97772">
      <w:rPr>
        <w:rFonts w:asciiTheme="minorHAnsi" w:hAnsiTheme="minorHAnsi" w:cstheme="minorHAnsi"/>
        <w:b/>
        <w:bCs/>
        <w:szCs w:val="22"/>
      </w:rPr>
      <w:instrText xml:space="preserve"> PAGE </w:instrText>
    </w:r>
    <w:r w:rsidR="00F644D7" w:rsidRPr="00C97772">
      <w:rPr>
        <w:rFonts w:asciiTheme="minorHAnsi" w:hAnsiTheme="minorHAnsi" w:cstheme="minorHAnsi"/>
        <w:b/>
        <w:bCs/>
        <w:szCs w:val="22"/>
      </w:rPr>
      <w:fldChar w:fldCharType="separate"/>
    </w:r>
    <w:r w:rsidR="00A12BCE">
      <w:rPr>
        <w:rFonts w:asciiTheme="minorHAnsi" w:hAnsiTheme="minorHAnsi" w:cstheme="minorHAnsi"/>
        <w:b/>
        <w:bCs/>
        <w:noProof/>
        <w:szCs w:val="22"/>
      </w:rPr>
      <w:t>1</w:t>
    </w:r>
    <w:r w:rsidR="00F644D7" w:rsidRPr="00C97772">
      <w:rPr>
        <w:rFonts w:asciiTheme="minorHAnsi" w:hAnsiTheme="minorHAnsi" w:cstheme="minorHAnsi"/>
        <w:b/>
        <w:bCs/>
        <w:szCs w:val="22"/>
      </w:rPr>
      <w:fldChar w:fldCharType="end"/>
    </w:r>
    <w:r w:rsidR="00664212" w:rsidRPr="00C97772">
      <w:rPr>
        <w:rFonts w:asciiTheme="minorHAnsi" w:hAnsiTheme="minorHAnsi" w:cstheme="minorHAnsi"/>
        <w:b/>
        <w:szCs w:val="22"/>
      </w:rPr>
      <w:t xml:space="preserve"> of </w:t>
    </w:r>
    <w:r w:rsidR="00F644D7" w:rsidRPr="00C97772">
      <w:rPr>
        <w:rFonts w:asciiTheme="minorHAnsi" w:hAnsiTheme="minorHAnsi" w:cstheme="minorHAnsi"/>
        <w:b/>
        <w:bCs/>
        <w:szCs w:val="22"/>
      </w:rPr>
      <w:fldChar w:fldCharType="begin"/>
    </w:r>
    <w:r w:rsidR="00664212" w:rsidRPr="00C97772">
      <w:rPr>
        <w:rFonts w:asciiTheme="minorHAnsi" w:hAnsiTheme="minorHAnsi" w:cstheme="minorHAnsi"/>
        <w:b/>
        <w:bCs/>
        <w:szCs w:val="22"/>
      </w:rPr>
      <w:instrText xml:space="preserve"> NUMPAGES  </w:instrText>
    </w:r>
    <w:r w:rsidR="00F644D7" w:rsidRPr="00C97772">
      <w:rPr>
        <w:rFonts w:asciiTheme="minorHAnsi" w:hAnsiTheme="minorHAnsi" w:cstheme="minorHAnsi"/>
        <w:b/>
        <w:bCs/>
        <w:szCs w:val="22"/>
      </w:rPr>
      <w:fldChar w:fldCharType="separate"/>
    </w:r>
    <w:r w:rsidR="00A12BCE">
      <w:rPr>
        <w:rFonts w:asciiTheme="minorHAnsi" w:hAnsiTheme="minorHAnsi" w:cstheme="minorHAnsi"/>
        <w:b/>
        <w:bCs/>
        <w:noProof/>
        <w:szCs w:val="22"/>
      </w:rPr>
      <w:t>1</w:t>
    </w:r>
    <w:r w:rsidR="00F644D7" w:rsidRPr="00C97772">
      <w:rPr>
        <w:rFonts w:asciiTheme="minorHAnsi" w:hAnsiTheme="minorHAnsi" w:cstheme="minorHAnsi"/>
        <w:b/>
        <w:bCs/>
        <w:szCs w:val="22"/>
      </w:rPr>
      <w:fldChar w:fldCharType="end"/>
    </w:r>
    <w:r w:rsidR="00664212" w:rsidRPr="00C97772">
      <w:rPr>
        <w:rFonts w:asciiTheme="minorHAnsi" w:hAnsiTheme="minorHAnsi" w:cstheme="minorHAnsi"/>
        <w:b/>
        <w:noProof/>
        <w:szCs w:val="22"/>
        <w:lang w:eastAsia="en-NZ"/>
      </w:rPr>
      <w:t xml:space="preserve"> </w:t>
    </w:r>
  </w:p>
  <w:p w:rsidR="004E3052" w:rsidRDefault="00664212" w:rsidP="00C3619F">
    <w:pPr>
      <w:jc w:val="center"/>
    </w:pPr>
    <w:r w:rsidRPr="00C97772">
      <w:rPr>
        <w:rFonts w:asciiTheme="minorHAnsi" w:hAnsiTheme="minorHAnsi" w:cstheme="minorHAnsi"/>
        <w:b/>
        <w:sz w:val="28"/>
        <w:szCs w:val="28"/>
      </w:rPr>
      <w:t>S</w:t>
    </w:r>
    <w:r w:rsidR="00C3619F">
      <w:rPr>
        <w:rFonts w:asciiTheme="minorHAnsi" w:hAnsiTheme="minorHAnsi" w:cstheme="minorHAnsi"/>
        <w:b/>
        <w:sz w:val="28"/>
        <w:szCs w:val="28"/>
      </w:rPr>
      <w:t>upporting Recovery Oriented Safety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AE" w:rsidRDefault="00A12B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8.4pt;height:117.1pt;rotation:315;z-index:-251660288;mso-position-horizontal:center;mso-position-horizontal-relative:margin;mso-position-vertical:center;mso-position-vertical-relative:margin" o:allowincell="f" fillcolor="#cff" stroked="f">
          <v:fill opacity=".5"/>
          <v:textpath style="font-family:&quot;Times New Roman&quot;;font-size:1pt" string="version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D61"/>
    <w:multiLevelType w:val="hybridMultilevel"/>
    <w:tmpl w:val="B06E0986"/>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081880"/>
    <w:multiLevelType w:val="hybridMultilevel"/>
    <w:tmpl w:val="51F22E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D236BB"/>
    <w:multiLevelType w:val="hybridMultilevel"/>
    <w:tmpl w:val="B6A0C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85D114C"/>
    <w:multiLevelType w:val="hybridMultilevel"/>
    <w:tmpl w:val="2ED2AA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72" w:hanging="360"/>
      </w:pPr>
      <w:rPr>
        <w:rFonts w:ascii="Courier New" w:hAnsi="Courier New" w:cs="Courier New" w:hint="default"/>
      </w:rPr>
    </w:lvl>
    <w:lvl w:ilvl="2" w:tplc="14090005" w:tentative="1">
      <w:start w:val="1"/>
      <w:numFmt w:val="bullet"/>
      <w:lvlText w:val=""/>
      <w:lvlJc w:val="left"/>
      <w:pPr>
        <w:ind w:left="1092" w:hanging="360"/>
      </w:pPr>
      <w:rPr>
        <w:rFonts w:ascii="Wingdings" w:hAnsi="Wingdings" w:hint="default"/>
      </w:rPr>
    </w:lvl>
    <w:lvl w:ilvl="3" w:tplc="14090001" w:tentative="1">
      <w:start w:val="1"/>
      <w:numFmt w:val="bullet"/>
      <w:lvlText w:val=""/>
      <w:lvlJc w:val="left"/>
      <w:pPr>
        <w:ind w:left="1812" w:hanging="360"/>
      </w:pPr>
      <w:rPr>
        <w:rFonts w:ascii="Symbol" w:hAnsi="Symbol" w:hint="default"/>
      </w:rPr>
    </w:lvl>
    <w:lvl w:ilvl="4" w:tplc="14090003" w:tentative="1">
      <w:start w:val="1"/>
      <w:numFmt w:val="bullet"/>
      <w:lvlText w:val="o"/>
      <w:lvlJc w:val="left"/>
      <w:pPr>
        <w:ind w:left="2532" w:hanging="360"/>
      </w:pPr>
      <w:rPr>
        <w:rFonts w:ascii="Courier New" w:hAnsi="Courier New" w:cs="Courier New" w:hint="default"/>
      </w:rPr>
    </w:lvl>
    <w:lvl w:ilvl="5" w:tplc="14090005" w:tentative="1">
      <w:start w:val="1"/>
      <w:numFmt w:val="bullet"/>
      <w:lvlText w:val=""/>
      <w:lvlJc w:val="left"/>
      <w:pPr>
        <w:ind w:left="3252" w:hanging="360"/>
      </w:pPr>
      <w:rPr>
        <w:rFonts w:ascii="Wingdings" w:hAnsi="Wingdings" w:hint="default"/>
      </w:rPr>
    </w:lvl>
    <w:lvl w:ilvl="6" w:tplc="14090001" w:tentative="1">
      <w:start w:val="1"/>
      <w:numFmt w:val="bullet"/>
      <w:lvlText w:val=""/>
      <w:lvlJc w:val="left"/>
      <w:pPr>
        <w:ind w:left="3972" w:hanging="360"/>
      </w:pPr>
      <w:rPr>
        <w:rFonts w:ascii="Symbol" w:hAnsi="Symbol" w:hint="default"/>
      </w:rPr>
    </w:lvl>
    <w:lvl w:ilvl="7" w:tplc="14090003" w:tentative="1">
      <w:start w:val="1"/>
      <w:numFmt w:val="bullet"/>
      <w:lvlText w:val="o"/>
      <w:lvlJc w:val="left"/>
      <w:pPr>
        <w:ind w:left="4692" w:hanging="360"/>
      </w:pPr>
      <w:rPr>
        <w:rFonts w:ascii="Courier New" w:hAnsi="Courier New" w:cs="Courier New" w:hint="default"/>
      </w:rPr>
    </w:lvl>
    <w:lvl w:ilvl="8" w:tplc="14090005" w:tentative="1">
      <w:start w:val="1"/>
      <w:numFmt w:val="bullet"/>
      <w:lvlText w:val=""/>
      <w:lvlJc w:val="left"/>
      <w:pPr>
        <w:ind w:left="5412" w:hanging="360"/>
      </w:pPr>
      <w:rPr>
        <w:rFonts w:ascii="Wingdings" w:hAnsi="Wingdings" w:hint="default"/>
      </w:rPr>
    </w:lvl>
  </w:abstractNum>
  <w:abstractNum w:abstractNumId="4" w15:restartNumberingAfterBreak="0">
    <w:nsid w:val="48C044CA"/>
    <w:multiLevelType w:val="hybridMultilevel"/>
    <w:tmpl w:val="55202F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F3A3656"/>
    <w:multiLevelType w:val="hybridMultilevel"/>
    <w:tmpl w:val="48D6A128"/>
    <w:lvl w:ilvl="0" w:tplc="04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1A45332"/>
    <w:multiLevelType w:val="hybridMultilevel"/>
    <w:tmpl w:val="E36AFC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3703FC3"/>
    <w:multiLevelType w:val="hybridMultilevel"/>
    <w:tmpl w:val="DCE03624"/>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6E43838"/>
    <w:multiLevelType w:val="hybridMultilevel"/>
    <w:tmpl w:val="08F63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F917E03"/>
    <w:multiLevelType w:val="hybridMultilevel"/>
    <w:tmpl w:val="D6061B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5203C2B"/>
    <w:multiLevelType w:val="hybridMultilevel"/>
    <w:tmpl w:val="F3A8F6AC"/>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64E14AA"/>
    <w:multiLevelType w:val="hybridMultilevel"/>
    <w:tmpl w:val="DCAA120A"/>
    <w:lvl w:ilvl="0" w:tplc="BCF20C02">
      <w:start w:val="1"/>
      <w:numFmt w:val="bullet"/>
      <w:lvlText w:val="o"/>
      <w:lvlJc w:val="left"/>
      <w:pPr>
        <w:ind w:left="960" w:hanging="360"/>
      </w:pPr>
      <w:rPr>
        <w:rFonts w:ascii="Courier New" w:hAnsi="Courier New" w:hint="default"/>
      </w:rPr>
    </w:lvl>
    <w:lvl w:ilvl="1" w:tplc="14090003" w:tentative="1">
      <w:start w:val="1"/>
      <w:numFmt w:val="bullet"/>
      <w:lvlText w:val="o"/>
      <w:lvlJc w:val="left"/>
      <w:pPr>
        <w:ind w:left="1680" w:hanging="360"/>
      </w:pPr>
      <w:rPr>
        <w:rFonts w:ascii="Courier New" w:hAnsi="Courier New" w:cs="Courier New" w:hint="default"/>
      </w:rPr>
    </w:lvl>
    <w:lvl w:ilvl="2" w:tplc="14090005" w:tentative="1">
      <w:start w:val="1"/>
      <w:numFmt w:val="bullet"/>
      <w:lvlText w:val=""/>
      <w:lvlJc w:val="left"/>
      <w:pPr>
        <w:ind w:left="2400" w:hanging="360"/>
      </w:pPr>
      <w:rPr>
        <w:rFonts w:ascii="Wingdings" w:hAnsi="Wingdings" w:hint="default"/>
      </w:rPr>
    </w:lvl>
    <w:lvl w:ilvl="3" w:tplc="14090001" w:tentative="1">
      <w:start w:val="1"/>
      <w:numFmt w:val="bullet"/>
      <w:lvlText w:val=""/>
      <w:lvlJc w:val="left"/>
      <w:pPr>
        <w:ind w:left="3120" w:hanging="360"/>
      </w:pPr>
      <w:rPr>
        <w:rFonts w:ascii="Symbol" w:hAnsi="Symbol" w:hint="default"/>
      </w:rPr>
    </w:lvl>
    <w:lvl w:ilvl="4" w:tplc="14090003" w:tentative="1">
      <w:start w:val="1"/>
      <w:numFmt w:val="bullet"/>
      <w:lvlText w:val="o"/>
      <w:lvlJc w:val="left"/>
      <w:pPr>
        <w:ind w:left="3840" w:hanging="360"/>
      </w:pPr>
      <w:rPr>
        <w:rFonts w:ascii="Courier New" w:hAnsi="Courier New" w:cs="Courier New" w:hint="default"/>
      </w:rPr>
    </w:lvl>
    <w:lvl w:ilvl="5" w:tplc="14090005" w:tentative="1">
      <w:start w:val="1"/>
      <w:numFmt w:val="bullet"/>
      <w:lvlText w:val=""/>
      <w:lvlJc w:val="left"/>
      <w:pPr>
        <w:ind w:left="4560" w:hanging="360"/>
      </w:pPr>
      <w:rPr>
        <w:rFonts w:ascii="Wingdings" w:hAnsi="Wingdings" w:hint="default"/>
      </w:rPr>
    </w:lvl>
    <w:lvl w:ilvl="6" w:tplc="14090001" w:tentative="1">
      <w:start w:val="1"/>
      <w:numFmt w:val="bullet"/>
      <w:lvlText w:val=""/>
      <w:lvlJc w:val="left"/>
      <w:pPr>
        <w:ind w:left="5280" w:hanging="360"/>
      </w:pPr>
      <w:rPr>
        <w:rFonts w:ascii="Symbol" w:hAnsi="Symbol" w:hint="default"/>
      </w:rPr>
    </w:lvl>
    <w:lvl w:ilvl="7" w:tplc="14090003" w:tentative="1">
      <w:start w:val="1"/>
      <w:numFmt w:val="bullet"/>
      <w:lvlText w:val="o"/>
      <w:lvlJc w:val="left"/>
      <w:pPr>
        <w:ind w:left="6000" w:hanging="360"/>
      </w:pPr>
      <w:rPr>
        <w:rFonts w:ascii="Courier New" w:hAnsi="Courier New" w:cs="Courier New" w:hint="default"/>
      </w:rPr>
    </w:lvl>
    <w:lvl w:ilvl="8" w:tplc="14090005" w:tentative="1">
      <w:start w:val="1"/>
      <w:numFmt w:val="bullet"/>
      <w:lvlText w:val=""/>
      <w:lvlJc w:val="left"/>
      <w:pPr>
        <w:ind w:left="6720" w:hanging="360"/>
      </w:pPr>
      <w:rPr>
        <w:rFonts w:ascii="Wingdings" w:hAnsi="Wingdings" w:hint="default"/>
      </w:rPr>
    </w:lvl>
  </w:abstractNum>
  <w:abstractNum w:abstractNumId="12" w15:restartNumberingAfterBreak="0">
    <w:nsid w:val="69F11630"/>
    <w:multiLevelType w:val="hybridMultilevel"/>
    <w:tmpl w:val="8CAAFCC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3576C4"/>
    <w:multiLevelType w:val="hybridMultilevel"/>
    <w:tmpl w:val="0FBE3C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7083673"/>
    <w:multiLevelType w:val="hybridMultilevel"/>
    <w:tmpl w:val="3F9EF57E"/>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8"/>
  </w:num>
  <w:num w:numId="5">
    <w:abstractNumId w:val="6"/>
  </w:num>
  <w:num w:numId="6">
    <w:abstractNumId w:val="2"/>
  </w:num>
  <w:num w:numId="7">
    <w:abstractNumId w:val="3"/>
  </w:num>
  <w:num w:numId="8">
    <w:abstractNumId w:val="4"/>
  </w:num>
  <w:num w:numId="9">
    <w:abstractNumId w:val="13"/>
  </w:num>
  <w:num w:numId="10">
    <w:abstractNumId w:val="10"/>
  </w:num>
  <w:num w:numId="11">
    <w:abstractNumId w:val="14"/>
  </w:num>
  <w:num w:numId="12">
    <w:abstractNumId w:val="5"/>
  </w:num>
  <w:num w:numId="13">
    <w:abstractNumId w:val="11"/>
  </w:num>
  <w:num w:numId="14">
    <w:abstractNumId w:val="0"/>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1">
      <o:colormru v:ext="edit" colors="#f8f8f8,#ccf,#9fc,#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9E"/>
    <w:rsid w:val="000102E2"/>
    <w:rsid w:val="00010B06"/>
    <w:rsid w:val="00014CDC"/>
    <w:rsid w:val="00034579"/>
    <w:rsid w:val="00050172"/>
    <w:rsid w:val="000504C8"/>
    <w:rsid w:val="00053816"/>
    <w:rsid w:val="00067D1D"/>
    <w:rsid w:val="0007024E"/>
    <w:rsid w:val="00080EFD"/>
    <w:rsid w:val="000B0BEE"/>
    <w:rsid w:val="000B7036"/>
    <w:rsid w:val="000C06A3"/>
    <w:rsid w:val="000D0189"/>
    <w:rsid w:val="000D1E2C"/>
    <w:rsid w:val="000D2533"/>
    <w:rsid w:val="000D339E"/>
    <w:rsid w:val="000D6CEA"/>
    <w:rsid w:val="000E51BE"/>
    <w:rsid w:val="000E556B"/>
    <w:rsid w:val="000F219A"/>
    <w:rsid w:val="000F2EB4"/>
    <w:rsid w:val="00103182"/>
    <w:rsid w:val="001079E0"/>
    <w:rsid w:val="001206D1"/>
    <w:rsid w:val="00120837"/>
    <w:rsid w:val="0013156A"/>
    <w:rsid w:val="00134512"/>
    <w:rsid w:val="00143958"/>
    <w:rsid w:val="00146925"/>
    <w:rsid w:val="001569FC"/>
    <w:rsid w:val="00162E20"/>
    <w:rsid w:val="001636A4"/>
    <w:rsid w:val="00166F9D"/>
    <w:rsid w:val="0016728C"/>
    <w:rsid w:val="001725E4"/>
    <w:rsid w:val="00175D98"/>
    <w:rsid w:val="00181613"/>
    <w:rsid w:val="00183B24"/>
    <w:rsid w:val="001856D4"/>
    <w:rsid w:val="0018597E"/>
    <w:rsid w:val="00187143"/>
    <w:rsid w:val="0019453A"/>
    <w:rsid w:val="001A29FB"/>
    <w:rsid w:val="001A3CC0"/>
    <w:rsid w:val="001A42FC"/>
    <w:rsid w:val="001B39F4"/>
    <w:rsid w:val="001C0B5C"/>
    <w:rsid w:val="001C15C9"/>
    <w:rsid w:val="001C2408"/>
    <w:rsid w:val="001C3A98"/>
    <w:rsid w:val="001D2C1B"/>
    <w:rsid w:val="001D4A51"/>
    <w:rsid w:val="001D5136"/>
    <w:rsid w:val="001D5EAE"/>
    <w:rsid w:val="001E39B0"/>
    <w:rsid w:val="001F672E"/>
    <w:rsid w:val="0021491E"/>
    <w:rsid w:val="00234E2A"/>
    <w:rsid w:val="002379B9"/>
    <w:rsid w:val="00244B0B"/>
    <w:rsid w:val="00250172"/>
    <w:rsid w:val="00255B09"/>
    <w:rsid w:val="00261C3F"/>
    <w:rsid w:val="00261EDF"/>
    <w:rsid w:val="00264476"/>
    <w:rsid w:val="002743D6"/>
    <w:rsid w:val="00280448"/>
    <w:rsid w:val="00280BFA"/>
    <w:rsid w:val="00282EE1"/>
    <w:rsid w:val="002853C6"/>
    <w:rsid w:val="00286299"/>
    <w:rsid w:val="0029079F"/>
    <w:rsid w:val="00297CF0"/>
    <w:rsid w:val="002A17E9"/>
    <w:rsid w:val="002A2697"/>
    <w:rsid w:val="002A2E20"/>
    <w:rsid w:val="002A3C12"/>
    <w:rsid w:val="002A774F"/>
    <w:rsid w:val="002B1C31"/>
    <w:rsid w:val="002B680F"/>
    <w:rsid w:val="002B7A0B"/>
    <w:rsid w:val="002C25E8"/>
    <w:rsid w:val="002C5E04"/>
    <w:rsid w:val="002C6B42"/>
    <w:rsid w:val="002C7CC1"/>
    <w:rsid w:val="002D5A17"/>
    <w:rsid w:val="002D68AF"/>
    <w:rsid w:val="002E3384"/>
    <w:rsid w:val="002E426F"/>
    <w:rsid w:val="002E6997"/>
    <w:rsid w:val="00304D98"/>
    <w:rsid w:val="003053A3"/>
    <w:rsid w:val="0031384E"/>
    <w:rsid w:val="003239D2"/>
    <w:rsid w:val="00326485"/>
    <w:rsid w:val="0033337E"/>
    <w:rsid w:val="00335B72"/>
    <w:rsid w:val="0034248E"/>
    <w:rsid w:val="003461D0"/>
    <w:rsid w:val="003641B1"/>
    <w:rsid w:val="00370EC6"/>
    <w:rsid w:val="00375408"/>
    <w:rsid w:val="00394CA7"/>
    <w:rsid w:val="00396298"/>
    <w:rsid w:val="003A1287"/>
    <w:rsid w:val="003A18D6"/>
    <w:rsid w:val="003A1D25"/>
    <w:rsid w:val="003A6514"/>
    <w:rsid w:val="003A7524"/>
    <w:rsid w:val="003A7566"/>
    <w:rsid w:val="003B1A9F"/>
    <w:rsid w:val="003B5252"/>
    <w:rsid w:val="003B5443"/>
    <w:rsid w:val="003B5D4E"/>
    <w:rsid w:val="003E025E"/>
    <w:rsid w:val="003E3887"/>
    <w:rsid w:val="003E4DC0"/>
    <w:rsid w:val="003E500A"/>
    <w:rsid w:val="003F68BD"/>
    <w:rsid w:val="003F6BAD"/>
    <w:rsid w:val="00405B93"/>
    <w:rsid w:val="00410B6B"/>
    <w:rsid w:val="00415D6E"/>
    <w:rsid w:val="004173C5"/>
    <w:rsid w:val="00427A0F"/>
    <w:rsid w:val="00433FB0"/>
    <w:rsid w:val="00446509"/>
    <w:rsid w:val="00446697"/>
    <w:rsid w:val="00450D68"/>
    <w:rsid w:val="00451B43"/>
    <w:rsid w:val="0045234A"/>
    <w:rsid w:val="00453D63"/>
    <w:rsid w:val="004710AF"/>
    <w:rsid w:val="00483EBA"/>
    <w:rsid w:val="00485229"/>
    <w:rsid w:val="00491A29"/>
    <w:rsid w:val="004930D5"/>
    <w:rsid w:val="00494784"/>
    <w:rsid w:val="004A1875"/>
    <w:rsid w:val="004A32C7"/>
    <w:rsid w:val="004A5965"/>
    <w:rsid w:val="004A60CF"/>
    <w:rsid w:val="004D30FD"/>
    <w:rsid w:val="004D678F"/>
    <w:rsid w:val="004E3052"/>
    <w:rsid w:val="004F2640"/>
    <w:rsid w:val="004F31EC"/>
    <w:rsid w:val="00501473"/>
    <w:rsid w:val="0050164B"/>
    <w:rsid w:val="00513393"/>
    <w:rsid w:val="00513BA7"/>
    <w:rsid w:val="005161EF"/>
    <w:rsid w:val="00521FA5"/>
    <w:rsid w:val="005238BC"/>
    <w:rsid w:val="00523E70"/>
    <w:rsid w:val="00541385"/>
    <w:rsid w:val="00550E43"/>
    <w:rsid w:val="00552DFC"/>
    <w:rsid w:val="00557F5E"/>
    <w:rsid w:val="00561739"/>
    <w:rsid w:val="00565727"/>
    <w:rsid w:val="00570952"/>
    <w:rsid w:val="00570C84"/>
    <w:rsid w:val="00572BB5"/>
    <w:rsid w:val="00576562"/>
    <w:rsid w:val="00576D9C"/>
    <w:rsid w:val="0058523B"/>
    <w:rsid w:val="00586B5B"/>
    <w:rsid w:val="0059447B"/>
    <w:rsid w:val="00595F21"/>
    <w:rsid w:val="005A2D27"/>
    <w:rsid w:val="005B2C52"/>
    <w:rsid w:val="005C1CDD"/>
    <w:rsid w:val="005C2376"/>
    <w:rsid w:val="005C2CC3"/>
    <w:rsid w:val="005C7ACA"/>
    <w:rsid w:val="005D02DE"/>
    <w:rsid w:val="005D0D8E"/>
    <w:rsid w:val="005D45BF"/>
    <w:rsid w:val="005D6E83"/>
    <w:rsid w:val="005D75F2"/>
    <w:rsid w:val="005E082C"/>
    <w:rsid w:val="005F2C68"/>
    <w:rsid w:val="005F6E86"/>
    <w:rsid w:val="006008B4"/>
    <w:rsid w:val="0060096F"/>
    <w:rsid w:val="0060253C"/>
    <w:rsid w:val="006046C9"/>
    <w:rsid w:val="00606265"/>
    <w:rsid w:val="00620DC2"/>
    <w:rsid w:val="006211C1"/>
    <w:rsid w:val="00627DB2"/>
    <w:rsid w:val="006319F8"/>
    <w:rsid w:val="00631CE6"/>
    <w:rsid w:val="006344FA"/>
    <w:rsid w:val="00664212"/>
    <w:rsid w:val="00666201"/>
    <w:rsid w:val="006720DB"/>
    <w:rsid w:val="006721A9"/>
    <w:rsid w:val="00673D18"/>
    <w:rsid w:val="00674E86"/>
    <w:rsid w:val="00675E6E"/>
    <w:rsid w:val="00676573"/>
    <w:rsid w:val="0067706F"/>
    <w:rsid w:val="006B0586"/>
    <w:rsid w:val="006C51C2"/>
    <w:rsid w:val="006C7C84"/>
    <w:rsid w:val="006D26B5"/>
    <w:rsid w:val="006D7E85"/>
    <w:rsid w:val="006E44A3"/>
    <w:rsid w:val="006E67F2"/>
    <w:rsid w:val="006E7C9E"/>
    <w:rsid w:val="006F5789"/>
    <w:rsid w:val="00703A40"/>
    <w:rsid w:val="0072655C"/>
    <w:rsid w:val="00746D41"/>
    <w:rsid w:val="00753667"/>
    <w:rsid w:val="00763679"/>
    <w:rsid w:val="0076762D"/>
    <w:rsid w:val="00771AEF"/>
    <w:rsid w:val="00781765"/>
    <w:rsid w:val="00793134"/>
    <w:rsid w:val="00793ABD"/>
    <w:rsid w:val="00796721"/>
    <w:rsid w:val="007C0D77"/>
    <w:rsid w:val="007D63CF"/>
    <w:rsid w:val="007D6A80"/>
    <w:rsid w:val="007F02C5"/>
    <w:rsid w:val="007F07B2"/>
    <w:rsid w:val="008005F9"/>
    <w:rsid w:val="00800699"/>
    <w:rsid w:val="00817A68"/>
    <w:rsid w:val="008209D8"/>
    <w:rsid w:val="00820EB1"/>
    <w:rsid w:val="00821B6E"/>
    <w:rsid w:val="00824A22"/>
    <w:rsid w:val="00825F75"/>
    <w:rsid w:val="00830246"/>
    <w:rsid w:val="00831038"/>
    <w:rsid w:val="00831A0E"/>
    <w:rsid w:val="00833534"/>
    <w:rsid w:val="00856DA2"/>
    <w:rsid w:val="008639E0"/>
    <w:rsid w:val="008664F0"/>
    <w:rsid w:val="00866FF3"/>
    <w:rsid w:val="00882A77"/>
    <w:rsid w:val="00882D22"/>
    <w:rsid w:val="008975E9"/>
    <w:rsid w:val="008A6650"/>
    <w:rsid w:val="008B2302"/>
    <w:rsid w:val="008C27F5"/>
    <w:rsid w:val="008C2F99"/>
    <w:rsid w:val="008C72F6"/>
    <w:rsid w:val="008D0109"/>
    <w:rsid w:val="008E15EA"/>
    <w:rsid w:val="008E5EDF"/>
    <w:rsid w:val="008E671E"/>
    <w:rsid w:val="008E6E8E"/>
    <w:rsid w:val="0091394B"/>
    <w:rsid w:val="00922F3D"/>
    <w:rsid w:val="00923319"/>
    <w:rsid w:val="0093293E"/>
    <w:rsid w:val="0093422C"/>
    <w:rsid w:val="00945799"/>
    <w:rsid w:val="009477EC"/>
    <w:rsid w:val="00954E05"/>
    <w:rsid w:val="00963FD2"/>
    <w:rsid w:val="00972C64"/>
    <w:rsid w:val="00977CFC"/>
    <w:rsid w:val="00985D5A"/>
    <w:rsid w:val="00990CAA"/>
    <w:rsid w:val="00991FEB"/>
    <w:rsid w:val="009952B1"/>
    <w:rsid w:val="00996395"/>
    <w:rsid w:val="009967F5"/>
    <w:rsid w:val="009B10A7"/>
    <w:rsid w:val="009B521C"/>
    <w:rsid w:val="009C3DA0"/>
    <w:rsid w:val="009D1B1E"/>
    <w:rsid w:val="009D1B68"/>
    <w:rsid w:val="009E0656"/>
    <w:rsid w:val="009E5A9E"/>
    <w:rsid w:val="009F0793"/>
    <w:rsid w:val="009F2D04"/>
    <w:rsid w:val="009F547D"/>
    <w:rsid w:val="009F6069"/>
    <w:rsid w:val="00A066F2"/>
    <w:rsid w:val="00A07A5E"/>
    <w:rsid w:val="00A12BCE"/>
    <w:rsid w:val="00A20994"/>
    <w:rsid w:val="00A25A2E"/>
    <w:rsid w:val="00A41C07"/>
    <w:rsid w:val="00A44516"/>
    <w:rsid w:val="00A45D13"/>
    <w:rsid w:val="00A520A1"/>
    <w:rsid w:val="00A63691"/>
    <w:rsid w:val="00A67C12"/>
    <w:rsid w:val="00A7121C"/>
    <w:rsid w:val="00A71B8A"/>
    <w:rsid w:val="00A74FCE"/>
    <w:rsid w:val="00A90CB7"/>
    <w:rsid w:val="00A949E7"/>
    <w:rsid w:val="00AA5059"/>
    <w:rsid w:val="00AA5F0C"/>
    <w:rsid w:val="00AB57CA"/>
    <w:rsid w:val="00AC6212"/>
    <w:rsid w:val="00AD543E"/>
    <w:rsid w:val="00AD557E"/>
    <w:rsid w:val="00AD573F"/>
    <w:rsid w:val="00B04C6F"/>
    <w:rsid w:val="00B125A9"/>
    <w:rsid w:val="00B138CE"/>
    <w:rsid w:val="00B35B94"/>
    <w:rsid w:val="00B36510"/>
    <w:rsid w:val="00B41026"/>
    <w:rsid w:val="00B467F2"/>
    <w:rsid w:val="00B5000C"/>
    <w:rsid w:val="00B6270A"/>
    <w:rsid w:val="00B66843"/>
    <w:rsid w:val="00B76A48"/>
    <w:rsid w:val="00B77945"/>
    <w:rsid w:val="00B77F3B"/>
    <w:rsid w:val="00B86CDA"/>
    <w:rsid w:val="00B90801"/>
    <w:rsid w:val="00BB085C"/>
    <w:rsid w:val="00BB2892"/>
    <w:rsid w:val="00BD18DF"/>
    <w:rsid w:val="00BD58EA"/>
    <w:rsid w:val="00BD597E"/>
    <w:rsid w:val="00BD7661"/>
    <w:rsid w:val="00BE26EC"/>
    <w:rsid w:val="00BE53EB"/>
    <w:rsid w:val="00BF2438"/>
    <w:rsid w:val="00C1244E"/>
    <w:rsid w:val="00C25DDD"/>
    <w:rsid w:val="00C26833"/>
    <w:rsid w:val="00C304E4"/>
    <w:rsid w:val="00C3619F"/>
    <w:rsid w:val="00C41E0C"/>
    <w:rsid w:val="00C427BD"/>
    <w:rsid w:val="00C43B88"/>
    <w:rsid w:val="00C4454E"/>
    <w:rsid w:val="00C44BAD"/>
    <w:rsid w:val="00C51559"/>
    <w:rsid w:val="00C612B7"/>
    <w:rsid w:val="00C67CBD"/>
    <w:rsid w:val="00C71C42"/>
    <w:rsid w:val="00C75316"/>
    <w:rsid w:val="00C7611C"/>
    <w:rsid w:val="00C77F31"/>
    <w:rsid w:val="00C8276A"/>
    <w:rsid w:val="00C87A8A"/>
    <w:rsid w:val="00C97772"/>
    <w:rsid w:val="00C9779B"/>
    <w:rsid w:val="00CA004D"/>
    <w:rsid w:val="00CA4DB8"/>
    <w:rsid w:val="00CB5C0D"/>
    <w:rsid w:val="00CB6147"/>
    <w:rsid w:val="00CC6AA8"/>
    <w:rsid w:val="00CC6D60"/>
    <w:rsid w:val="00CD53CB"/>
    <w:rsid w:val="00CE07EB"/>
    <w:rsid w:val="00CE3C14"/>
    <w:rsid w:val="00CF026A"/>
    <w:rsid w:val="00CF699B"/>
    <w:rsid w:val="00D025B3"/>
    <w:rsid w:val="00D15840"/>
    <w:rsid w:val="00D20E77"/>
    <w:rsid w:val="00D20FC4"/>
    <w:rsid w:val="00D30037"/>
    <w:rsid w:val="00D40B1E"/>
    <w:rsid w:val="00D41182"/>
    <w:rsid w:val="00D474B4"/>
    <w:rsid w:val="00D50D86"/>
    <w:rsid w:val="00D53D4F"/>
    <w:rsid w:val="00D574C7"/>
    <w:rsid w:val="00D61487"/>
    <w:rsid w:val="00D65048"/>
    <w:rsid w:val="00D6544F"/>
    <w:rsid w:val="00D7088E"/>
    <w:rsid w:val="00D70F3A"/>
    <w:rsid w:val="00D70FAD"/>
    <w:rsid w:val="00D70FAE"/>
    <w:rsid w:val="00D75C99"/>
    <w:rsid w:val="00D76214"/>
    <w:rsid w:val="00D815B9"/>
    <w:rsid w:val="00D85232"/>
    <w:rsid w:val="00D8608A"/>
    <w:rsid w:val="00D90C97"/>
    <w:rsid w:val="00D97978"/>
    <w:rsid w:val="00DB0B1F"/>
    <w:rsid w:val="00DB5481"/>
    <w:rsid w:val="00DC36D6"/>
    <w:rsid w:val="00DD0487"/>
    <w:rsid w:val="00DD14EC"/>
    <w:rsid w:val="00DD2EF7"/>
    <w:rsid w:val="00DD62FC"/>
    <w:rsid w:val="00DE12C3"/>
    <w:rsid w:val="00DE31E9"/>
    <w:rsid w:val="00DE3BFB"/>
    <w:rsid w:val="00DE403E"/>
    <w:rsid w:val="00DE6017"/>
    <w:rsid w:val="00DF7F44"/>
    <w:rsid w:val="00E01F0D"/>
    <w:rsid w:val="00E06C31"/>
    <w:rsid w:val="00E1060C"/>
    <w:rsid w:val="00E122AD"/>
    <w:rsid w:val="00E127B5"/>
    <w:rsid w:val="00E14A17"/>
    <w:rsid w:val="00E1568B"/>
    <w:rsid w:val="00E17BCA"/>
    <w:rsid w:val="00E25C05"/>
    <w:rsid w:val="00E267D6"/>
    <w:rsid w:val="00E3157D"/>
    <w:rsid w:val="00E34404"/>
    <w:rsid w:val="00E34778"/>
    <w:rsid w:val="00E35617"/>
    <w:rsid w:val="00E64A76"/>
    <w:rsid w:val="00E65B7A"/>
    <w:rsid w:val="00E91E43"/>
    <w:rsid w:val="00E93FD0"/>
    <w:rsid w:val="00EA5CFF"/>
    <w:rsid w:val="00EB3E03"/>
    <w:rsid w:val="00EB7349"/>
    <w:rsid w:val="00EC2C3F"/>
    <w:rsid w:val="00EE171E"/>
    <w:rsid w:val="00EE1B50"/>
    <w:rsid w:val="00EE231C"/>
    <w:rsid w:val="00EE45B5"/>
    <w:rsid w:val="00EE7BA5"/>
    <w:rsid w:val="00EF4C8C"/>
    <w:rsid w:val="00F15CD0"/>
    <w:rsid w:val="00F23D64"/>
    <w:rsid w:val="00F25A11"/>
    <w:rsid w:val="00F3004C"/>
    <w:rsid w:val="00F334F8"/>
    <w:rsid w:val="00F40A92"/>
    <w:rsid w:val="00F5485E"/>
    <w:rsid w:val="00F55503"/>
    <w:rsid w:val="00F55B52"/>
    <w:rsid w:val="00F644D7"/>
    <w:rsid w:val="00F65B7B"/>
    <w:rsid w:val="00F673E8"/>
    <w:rsid w:val="00F7417C"/>
    <w:rsid w:val="00F76198"/>
    <w:rsid w:val="00F765C3"/>
    <w:rsid w:val="00F911D2"/>
    <w:rsid w:val="00F96274"/>
    <w:rsid w:val="00FC0313"/>
    <w:rsid w:val="00FC0A8B"/>
    <w:rsid w:val="00FD0369"/>
    <w:rsid w:val="00FD0ADD"/>
    <w:rsid w:val="00FD101C"/>
    <w:rsid w:val="00FD2312"/>
    <w:rsid w:val="00FD3821"/>
    <w:rsid w:val="00FD43B5"/>
    <w:rsid w:val="00FE1C27"/>
    <w:rsid w:val="00FF0578"/>
    <w:rsid w:val="00FF1AD3"/>
    <w:rsid w:val="00FF71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f8f8f8,#ccf,#9fc,#ddd"/>
    </o:shapedefaults>
    <o:shapelayout v:ext="edit">
      <o:idmap v:ext="edit" data="1"/>
    </o:shapelayout>
  </w:shapeDefaults>
  <w:decimalSymbol w:val="."/>
  <w:listSeparator w:val=","/>
  <w15:docId w15:val="{B51A6E14-7274-45C2-A090-5E755A4A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71E"/>
    <w:rPr>
      <w:rFonts w:ascii="Calibri" w:hAnsi="Calibri"/>
      <w:color w:val="000000" w:themeColor="text1"/>
      <w:sz w:val="22"/>
      <w:szCs w:val="24"/>
      <w:lang w:val="en-GB" w:eastAsia="en-GB"/>
    </w:rPr>
  </w:style>
  <w:style w:type="paragraph" w:styleId="Heading1">
    <w:name w:val="heading 1"/>
    <w:basedOn w:val="Normal"/>
    <w:next w:val="Normal"/>
    <w:link w:val="Heading1Char"/>
    <w:qFormat/>
    <w:rsid w:val="005238BC"/>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014CDC"/>
    <w:pPr>
      <w:spacing w:before="100" w:beforeAutospacing="1" w:after="100" w:afterAutospacing="1"/>
      <w:outlineLvl w:val="1"/>
    </w:pPr>
    <w:rPr>
      <w:b/>
      <w:bCs/>
      <w:sz w:val="36"/>
      <w:szCs w:val="36"/>
      <w:lang w:val="en-NZ" w:eastAsia="en-NZ"/>
    </w:rPr>
  </w:style>
  <w:style w:type="paragraph" w:styleId="Heading3">
    <w:name w:val="heading 3"/>
    <w:basedOn w:val="Normal"/>
    <w:next w:val="Normal"/>
    <w:link w:val="Heading3Char"/>
    <w:semiHidden/>
    <w:unhideWhenUsed/>
    <w:qFormat/>
    <w:rsid w:val="00C7611C"/>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E7C9E"/>
    <w:rPr>
      <w:color w:val="0000FF"/>
      <w:u w:val="single"/>
    </w:rPr>
  </w:style>
  <w:style w:type="paragraph" w:styleId="Footer">
    <w:name w:val="footer"/>
    <w:basedOn w:val="Normal"/>
    <w:link w:val="FooterChar"/>
    <w:uiPriority w:val="99"/>
    <w:rsid w:val="006E7C9E"/>
    <w:pPr>
      <w:tabs>
        <w:tab w:val="center" w:pos="4153"/>
        <w:tab w:val="right" w:pos="8306"/>
      </w:tabs>
    </w:pPr>
  </w:style>
  <w:style w:type="paragraph" w:styleId="Header">
    <w:name w:val="header"/>
    <w:basedOn w:val="Normal"/>
    <w:link w:val="HeaderChar"/>
    <w:uiPriority w:val="99"/>
    <w:rsid w:val="006E7C9E"/>
    <w:pPr>
      <w:tabs>
        <w:tab w:val="center" w:pos="4153"/>
        <w:tab w:val="right" w:pos="8306"/>
      </w:tabs>
    </w:pPr>
  </w:style>
  <w:style w:type="paragraph" w:styleId="ListParagraph">
    <w:name w:val="List Paragraph"/>
    <w:basedOn w:val="Normal"/>
    <w:uiPriority w:val="34"/>
    <w:qFormat/>
    <w:rsid w:val="00AD573F"/>
    <w:pPr>
      <w:ind w:left="720"/>
      <w:contextualSpacing/>
    </w:pPr>
  </w:style>
  <w:style w:type="paragraph" w:styleId="BalloonText">
    <w:name w:val="Balloon Text"/>
    <w:basedOn w:val="Normal"/>
    <w:link w:val="BalloonTextChar"/>
    <w:rsid w:val="001C2408"/>
    <w:rPr>
      <w:rFonts w:ascii="Tahoma" w:hAnsi="Tahoma" w:cs="Tahoma"/>
      <w:sz w:val="16"/>
      <w:szCs w:val="16"/>
    </w:rPr>
  </w:style>
  <w:style w:type="character" w:customStyle="1" w:styleId="BalloonTextChar">
    <w:name w:val="Balloon Text Char"/>
    <w:link w:val="BalloonText"/>
    <w:rsid w:val="001C2408"/>
    <w:rPr>
      <w:rFonts w:ascii="Tahoma" w:hAnsi="Tahoma" w:cs="Tahoma"/>
      <w:sz w:val="16"/>
      <w:szCs w:val="16"/>
      <w:lang w:val="en-GB" w:eastAsia="en-GB"/>
    </w:rPr>
  </w:style>
  <w:style w:type="character" w:customStyle="1" w:styleId="HeaderChar">
    <w:name w:val="Header Char"/>
    <w:link w:val="Header"/>
    <w:uiPriority w:val="99"/>
    <w:rsid w:val="00EC2C3F"/>
    <w:rPr>
      <w:sz w:val="24"/>
      <w:szCs w:val="24"/>
      <w:lang w:val="en-GB" w:eastAsia="en-GB"/>
    </w:rPr>
  </w:style>
  <w:style w:type="character" w:customStyle="1" w:styleId="FooterChar">
    <w:name w:val="Footer Char"/>
    <w:link w:val="Footer"/>
    <w:uiPriority w:val="99"/>
    <w:rsid w:val="00EC2C3F"/>
    <w:rPr>
      <w:sz w:val="24"/>
      <w:szCs w:val="24"/>
      <w:lang w:val="en-GB" w:eastAsia="en-GB"/>
    </w:rPr>
  </w:style>
  <w:style w:type="character" w:styleId="FollowedHyperlink">
    <w:name w:val="FollowedHyperlink"/>
    <w:rsid w:val="00674E86"/>
    <w:rPr>
      <w:color w:val="800080"/>
      <w:u w:val="single"/>
    </w:rPr>
  </w:style>
  <w:style w:type="character" w:customStyle="1" w:styleId="Heading2Char">
    <w:name w:val="Heading 2 Char"/>
    <w:link w:val="Heading2"/>
    <w:uiPriority w:val="9"/>
    <w:rsid w:val="00014CDC"/>
    <w:rPr>
      <w:b/>
      <w:bCs/>
      <w:sz w:val="36"/>
      <w:szCs w:val="36"/>
    </w:rPr>
  </w:style>
  <w:style w:type="character" w:customStyle="1" w:styleId="Heading1Char">
    <w:name w:val="Heading 1 Char"/>
    <w:link w:val="Heading1"/>
    <w:rsid w:val="005238BC"/>
    <w:rPr>
      <w:rFonts w:ascii="Cambria" w:eastAsia="Times New Roman" w:hAnsi="Cambria" w:cs="Times New Roman"/>
      <w:b/>
      <w:bCs/>
      <w:color w:val="365F91"/>
      <w:sz w:val="28"/>
      <w:szCs w:val="28"/>
      <w:lang w:val="en-GB" w:eastAsia="en-GB"/>
    </w:rPr>
  </w:style>
  <w:style w:type="character" w:customStyle="1" w:styleId="hgkelc">
    <w:name w:val="hgkelc"/>
    <w:basedOn w:val="DefaultParagraphFont"/>
    <w:rsid w:val="00453D63"/>
  </w:style>
  <w:style w:type="character" w:customStyle="1" w:styleId="Heading3Char">
    <w:name w:val="Heading 3 Char"/>
    <w:basedOn w:val="DefaultParagraphFont"/>
    <w:link w:val="Heading3"/>
    <w:semiHidden/>
    <w:rsid w:val="00C7611C"/>
    <w:rPr>
      <w:rFonts w:asciiTheme="majorHAnsi" w:eastAsiaTheme="majorEastAsia" w:hAnsiTheme="majorHAnsi" w:cstheme="majorBidi"/>
      <w:color w:val="1F4D78" w:themeColor="accent1" w:themeShade="7F"/>
      <w:sz w:val="24"/>
      <w:szCs w:val="24"/>
      <w:lang w:val="en-GB" w:eastAsia="en-GB"/>
    </w:rPr>
  </w:style>
  <w:style w:type="paragraph" w:styleId="NormalWeb">
    <w:name w:val="Normal (Web)"/>
    <w:basedOn w:val="Normal"/>
    <w:uiPriority w:val="99"/>
    <w:unhideWhenUsed/>
    <w:rsid w:val="00C7611C"/>
    <w:pPr>
      <w:spacing w:before="100" w:beforeAutospacing="1" w:after="100" w:afterAutospacing="1"/>
    </w:pPr>
    <w:rPr>
      <w:rFonts w:ascii="Times New Roman" w:hAnsi="Times New Roman"/>
      <w:color w:val="auto"/>
      <w:sz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2055">
      <w:bodyDiv w:val="1"/>
      <w:marLeft w:val="0"/>
      <w:marRight w:val="0"/>
      <w:marTop w:val="0"/>
      <w:marBottom w:val="0"/>
      <w:divBdr>
        <w:top w:val="none" w:sz="0" w:space="0" w:color="auto"/>
        <w:left w:val="none" w:sz="0" w:space="0" w:color="auto"/>
        <w:bottom w:val="none" w:sz="0" w:space="0" w:color="auto"/>
        <w:right w:val="none" w:sz="0" w:space="0" w:color="auto"/>
      </w:divBdr>
    </w:div>
    <w:div w:id="151534033">
      <w:bodyDiv w:val="1"/>
      <w:marLeft w:val="0"/>
      <w:marRight w:val="0"/>
      <w:marTop w:val="0"/>
      <w:marBottom w:val="0"/>
      <w:divBdr>
        <w:top w:val="none" w:sz="0" w:space="0" w:color="auto"/>
        <w:left w:val="none" w:sz="0" w:space="0" w:color="auto"/>
        <w:bottom w:val="none" w:sz="0" w:space="0" w:color="auto"/>
        <w:right w:val="none" w:sz="0" w:space="0" w:color="auto"/>
      </w:divBdr>
      <w:divsChild>
        <w:div w:id="68116390">
          <w:marLeft w:val="547"/>
          <w:marRight w:val="0"/>
          <w:marTop w:val="0"/>
          <w:marBottom w:val="0"/>
          <w:divBdr>
            <w:top w:val="none" w:sz="0" w:space="0" w:color="auto"/>
            <w:left w:val="none" w:sz="0" w:space="0" w:color="auto"/>
            <w:bottom w:val="none" w:sz="0" w:space="0" w:color="auto"/>
            <w:right w:val="none" w:sz="0" w:space="0" w:color="auto"/>
          </w:divBdr>
        </w:div>
      </w:divsChild>
    </w:div>
    <w:div w:id="443379274">
      <w:bodyDiv w:val="1"/>
      <w:marLeft w:val="0"/>
      <w:marRight w:val="0"/>
      <w:marTop w:val="0"/>
      <w:marBottom w:val="0"/>
      <w:divBdr>
        <w:top w:val="none" w:sz="0" w:space="0" w:color="auto"/>
        <w:left w:val="none" w:sz="0" w:space="0" w:color="auto"/>
        <w:bottom w:val="none" w:sz="0" w:space="0" w:color="auto"/>
        <w:right w:val="none" w:sz="0" w:space="0" w:color="auto"/>
      </w:divBdr>
    </w:div>
    <w:div w:id="549924811">
      <w:bodyDiv w:val="1"/>
      <w:marLeft w:val="0"/>
      <w:marRight w:val="0"/>
      <w:marTop w:val="0"/>
      <w:marBottom w:val="0"/>
      <w:divBdr>
        <w:top w:val="none" w:sz="0" w:space="0" w:color="auto"/>
        <w:left w:val="none" w:sz="0" w:space="0" w:color="auto"/>
        <w:bottom w:val="none" w:sz="0" w:space="0" w:color="auto"/>
        <w:right w:val="none" w:sz="0" w:space="0" w:color="auto"/>
      </w:divBdr>
    </w:div>
    <w:div w:id="813136168">
      <w:bodyDiv w:val="1"/>
      <w:marLeft w:val="0"/>
      <w:marRight w:val="0"/>
      <w:marTop w:val="0"/>
      <w:marBottom w:val="0"/>
      <w:divBdr>
        <w:top w:val="none" w:sz="0" w:space="0" w:color="auto"/>
        <w:left w:val="none" w:sz="0" w:space="0" w:color="auto"/>
        <w:bottom w:val="none" w:sz="0" w:space="0" w:color="auto"/>
        <w:right w:val="none" w:sz="0" w:space="0" w:color="auto"/>
      </w:divBdr>
      <w:divsChild>
        <w:div w:id="637760566">
          <w:marLeft w:val="0"/>
          <w:marRight w:val="0"/>
          <w:marTop w:val="0"/>
          <w:marBottom w:val="0"/>
          <w:divBdr>
            <w:top w:val="none" w:sz="0" w:space="0" w:color="auto"/>
            <w:left w:val="none" w:sz="0" w:space="0" w:color="auto"/>
            <w:bottom w:val="none" w:sz="0" w:space="0" w:color="auto"/>
            <w:right w:val="none" w:sz="0" w:space="0" w:color="auto"/>
          </w:divBdr>
        </w:div>
        <w:div w:id="1233077209">
          <w:marLeft w:val="0"/>
          <w:marRight w:val="0"/>
          <w:marTop w:val="0"/>
          <w:marBottom w:val="0"/>
          <w:divBdr>
            <w:top w:val="none" w:sz="0" w:space="0" w:color="auto"/>
            <w:left w:val="none" w:sz="0" w:space="0" w:color="auto"/>
            <w:bottom w:val="none" w:sz="0" w:space="0" w:color="auto"/>
            <w:right w:val="none" w:sz="0" w:space="0" w:color="auto"/>
          </w:divBdr>
        </w:div>
        <w:div w:id="1692337618">
          <w:marLeft w:val="0"/>
          <w:marRight w:val="0"/>
          <w:marTop w:val="0"/>
          <w:marBottom w:val="0"/>
          <w:divBdr>
            <w:top w:val="none" w:sz="0" w:space="0" w:color="auto"/>
            <w:left w:val="none" w:sz="0" w:space="0" w:color="auto"/>
            <w:bottom w:val="none" w:sz="0" w:space="0" w:color="auto"/>
            <w:right w:val="none" w:sz="0" w:space="0" w:color="auto"/>
          </w:divBdr>
        </w:div>
        <w:div w:id="1694107706">
          <w:marLeft w:val="0"/>
          <w:marRight w:val="0"/>
          <w:marTop w:val="0"/>
          <w:marBottom w:val="0"/>
          <w:divBdr>
            <w:top w:val="none" w:sz="0" w:space="0" w:color="auto"/>
            <w:left w:val="none" w:sz="0" w:space="0" w:color="auto"/>
            <w:bottom w:val="none" w:sz="0" w:space="0" w:color="auto"/>
            <w:right w:val="none" w:sz="0" w:space="0" w:color="auto"/>
          </w:divBdr>
        </w:div>
      </w:divsChild>
    </w:div>
    <w:div w:id="1095708216">
      <w:bodyDiv w:val="1"/>
      <w:marLeft w:val="0"/>
      <w:marRight w:val="0"/>
      <w:marTop w:val="0"/>
      <w:marBottom w:val="0"/>
      <w:divBdr>
        <w:top w:val="none" w:sz="0" w:space="0" w:color="auto"/>
        <w:left w:val="none" w:sz="0" w:space="0" w:color="auto"/>
        <w:bottom w:val="none" w:sz="0" w:space="0" w:color="auto"/>
        <w:right w:val="none" w:sz="0" w:space="0" w:color="auto"/>
      </w:divBdr>
    </w:div>
    <w:div w:id="1180854746">
      <w:bodyDiv w:val="1"/>
      <w:marLeft w:val="0"/>
      <w:marRight w:val="0"/>
      <w:marTop w:val="0"/>
      <w:marBottom w:val="0"/>
      <w:divBdr>
        <w:top w:val="none" w:sz="0" w:space="0" w:color="auto"/>
        <w:left w:val="none" w:sz="0" w:space="0" w:color="auto"/>
        <w:bottom w:val="none" w:sz="0" w:space="0" w:color="auto"/>
        <w:right w:val="none" w:sz="0" w:space="0" w:color="auto"/>
      </w:divBdr>
      <w:divsChild>
        <w:div w:id="445658831">
          <w:marLeft w:val="547"/>
          <w:marRight w:val="0"/>
          <w:marTop w:val="0"/>
          <w:marBottom w:val="0"/>
          <w:divBdr>
            <w:top w:val="none" w:sz="0" w:space="0" w:color="auto"/>
            <w:left w:val="none" w:sz="0" w:space="0" w:color="auto"/>
            <w:bottom w:val="none" w:sz="0" w:space="0" w:color="auto"/>
            <w:right w:val="none" w:sz="0" w:space="0" w:color="auto"/>
          </w:divBdr>
        </w:div>
      </w:divsChild>
    </w:div>
    <w:div w:id="1521236623">
      <w:bodyDiv w:val="1"/>
      <w:marLeft w:val="0"/>
      <w:marRight w:val="0"/>
      <w:marTop w:val="0"/>
      <w:marBottom w:val="0"/>
      <w:divBdr>
        <w:top w:val="none" w:sz="0" w:space="0" w:color="auto"/>
        <w:left w:val="none" w:sz="0" w:space="0" w:color="auto"/>
        <w:bottom w:val="none" w:sz="0" w:space="0" w:color="auto"/>
        <w:right w:val="none" w:sz="0" w:space="0" w:color="auto"/>
      </w:divBdr>
      <w:divsChild>
        <w:div w:id="934241930">
          <w:marLeft w:val="0"/>
          <w:marRight w:val="0"/>
          <w:marTop w:val="0"/>
          <w:marBottom w:val="0"/>
          <w:divBdr>
            <w:top w:val="none" w:sz="0" w:space="0" w:color="auto"/>
            <w:left w:val="none" w:sz="0" w:space="0" w:color="auto"/>
            <w:bottom w:val="none" w:sz="0" w:space="0" w:color="auto"/>
            <w:right w:val="none" w:sz="0" w:space="0" w:color="auto"/>
          </w:divBdr>
        </w:div>
        <w:div w:id="1191727368">
          <w:marLeft w:val="0"/>
          <w:marRight w:val="0"/>
          <w:marTop w:val="0"/>
          <w:marBottom w:val="0"/>
          <w:divBdr>
            <w:top w:val="none" w:sz="0" w:space="0" w:color="auto"/>
            <w:left w:val="none" w:sz="0" w:space="0" w:color="auto"/>
            <w:bottom w:val="none" w:sz="0" w:space="0" w:color="auto"/>
            <w:right w:val="none" w:sz="0" w:space="0" w:color="auto"/>
          </w:divBdr>
        </w:div>
      </w:divsChild>
    </w:div>
    <w:div w:id="1591040454">
      <w:bodyDiv w:val="1"/>
      <w:marLeft w:val="0"/>
      <w:marRight w:val="0"/>
      <w:marTop w:val="0"/>
      <w:marBottom w:val="0"/>
      <w:divBdr>
        <w:top w:val="none" w:sz="0" w:space="0" w:color="auto"/>
        <w:left w:val="none" w:sz="0" w:space="0" w:color="auto"/>
        <w:bottom w:val="none" w:sz="0" w:space="0" w:color="auto"/>
        <w:right w:val="none" w:sz="0" w:space="0" w:color="auto"/>
      </w:divBdr>
    </w:div>
    <w:div w:id="1884174413">
      <w:bodyDiv w:val="1"/>
      <w:marLeft w:val="0"/>
      <w:marRight w:val="0"/>
      <w:marTop w:val="0"/>
      <w:marBottom w:val="0"/>
      <w:divBdr>
        <w:top w:val="none" w:sz="0" w:space="0" w:color="auto"/>
        <w:left w:val="none" w:sz="0" w:space="0" w:color="auto"/>
        <w:bottom w:val="none" w:sz="0" w:space="0" w:color="auto"/>
        <w:right w:val="none" w:sz="0" w:space="0" w:color="auto"/>
      </w:divBdr>
      <w:divsChild>
        <w:div w:id="1319336661">
          <w:marLeft w:val="0"/>
          <w:marRight w:val="0"/>
          <w:marTop w:val="0"/>
          <w:marBottom w:val="0"/>
          <w:divBdr>
            <w:top w:val="none" w:sz="0" w:space="0" w:color="auto"/>
            <w:left w:val="none" w:sz="0" w:space="0" w:color="auto"/>
            <w:bottom w:val="none" w:sz="0" w:space="0" w:color="auto"/>
            <w:right w:val="none" w:sz="0" w:space="0" w:color="auto"/>
          </w:divBdr>
        </w:div>
        <w:div w:id="1478304303">
          <w:marLeft w:val="0"/>
          <w:marRight w:val="0"/>
          <w:marTop w:val="0"/>
          <w:marBottom w:val="0"/>
          <w:divBdr>
            <w:top w:val="none" w:sz="0" w:space="0" w:color="auto"/>
            <w:left w:val="none" w:sz="0" w:space="0" w:color="auto"/>
            <w:bottom w:val="none" w:sz="0" w:space="0" w:color="auto"/>
            <w:right w:val="none" w:sz="0" w:space="0" w:color="auto"/>
          </w:divBdr>
        </w:div>
      </w:divsChild>
    </w:div>
    <w:div w:id="2075932304">
      <w:bodyDiv w:val="1"/>
      <w:marLeft w:val="0"/>
      <w:marRight w:val="0"/>
      <w:marTop w:val="0"/>
      <w:marBottom w:val="0"/>
      <w:divBdr>
        <w:top w:val="none" w:sz="0" w:space="0" w:color="auto"/>
        <w:left w:val="none" w:sz="0" w:space="0" w:color="auto"/>
        <w:bottom w:val="none" w:sz="0" w:space="0" w:color="auto"/>
        <w:right w:val="none" w:sz="0" w:space="0" w:color="auto"/>
      </w:divBdr>
      <w:divsChild>
        <w:div w:id="10525802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t.nz/publication/he-arotake-nga-turaru-reviewing-risk-discussion-paper" TargetMode="External"/><Relationship Id="rId13" Type="http://schemas.openxmlformats.org/officeDocument/2006/relationships/hyperlink" Target="https://www.healthnavigator.org.nz/health-a-z/s/suicide-prevention/"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ntalhealth.inquiry.govt.nz/inquiry-report/he-ara-oranga/" TargetMode="External"/><Relationship Id="rId12" Type="http://schemas.openxmlformats.org/officeDocument/2006/relationships/hyperlink" Target="https://mentalhealth.org.nz/resources/resource/personal-safety-pla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t.nz/your-health/conditions-and-treatments/mental-health/suicide-preven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mroc.org/resource/9-risk-safety-and-recove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cpsych.ac.uk/improving-care/campaigning-for-better-mental-health-policy/college-reports/2014-2016-college-reports" TargetMode="External"/><Relationship Id="rId14" Type="http://schemas.openxmlformats.org/officeDocument/2006/relationships/hyperlink" Target="https://www.kingsfund.org.uk/insight-and-analysis/blogs/we-will-back-you-positive-approach-to-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6</Pages>
  <Words>1642</Words>
  <Characters>9362</Characters>
  <Application>Microsoft Office Word</Application>
  <DocSecurity>0</DocSecurity>
  <Lines>78</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Purpose</vt:lpstr>
      <vt:lpstr>Consultation</vt:lpstr>
      <vt:lpstr/>
      <vt:lpstr/>
    </vt:vector>
  </TitlesOfParts>
  <Company>Hewlett-Packard</Company>
  <LinksUpToDate>false</LinksUpToDate>
  <CharactersWithSpaces>10983</CharactersWithSpaces>
  <SharedDoc>false</SharedDoc>
  <HLinks>
    <vt:vector size="120" baseType="variant">
      <vt:variant>
        <vt:i4>7929896</vt:i4>
      </vt:variant>
      <vt:variant>
        <vt:i4>57</vt:i4>
      </vt:variant>
      <vt:variant>
        <vt:i4>0</vt:i4>
      </vt:variant>
      <vt:variant>
        <vt:i4>5</vt:i4>
      </vt:variant>
      <vt:variant>
        <vt:lpwstr>http://www.hauora.co.nz/resources/MaoriHealthPromotion.pdf</vt:lpwstr>
      </vt:variant>
      <vt:variant>
        <vt:lpwstr/>
      </vt:variant>
      <vt:variant>
        <vt:i4>7012356</vt:i4>
      </vt:variant>
      <vt:variant>
        <vt:i4>54</vt:i4>
      </vt:variant>
      <vt:variant>
        <vt:i4>0</vt:i4>
      </vt:variant>
      <vt:variant>
        <vt:i4>5</vt:i4>
      </vt:variant>
      <vt:variant>
        <vt:lpwstr>http://www.tpk.govt.nz/_documents/whanau-ora-pathway.pdf</vt:lpwstr>
      </vt:variant>
      <vt:variant>
        <vt:lpwstr/>
      </vt:variant>
      <vt:variant>
        <vt:i4>6815794</vt:i4>
      </vt:variant>
      <vt:variant>
        <vt:i4>51</vt:i4>
      </vt:variant>
      <vt:variant>
        <vt:i4>0</vt:i4>
      </vt:variant>
      <vt:variant>
        <vt:i4>5</vt:i4>
      </vt:variant>
      <vt:variant>
        <vt:lpwstr>http://www.health.govt.nz/system/files/documents/pages/maori_health_model_tepaemahutonga_0.pdf</vt:lpwstr>
      </vt:variant>
      <vt:variant>
        <vt:lpwstr/>
      </vt:variant>
      <vt:variant>
        <vt:i4>1572905</vt:i4>
      </vt:variant>
      <vt:variant>
        <vt:i4>48</vt:i4>
      </vt:variant>
      <vt:variant>
        <vt:i4>0</vt:i4>
      </vt:variant>
      <vt:variant>
        <vt:i4>5</vt:i4>
      </vt:variant>
      <vt:variant>
        <vt:lpwstr>http://www.health.govt.nz/system/files/documents/pages/maori_health_model_tewheke.pdf</vt:lpwstr>
      </vt:variant>
      <vt:variant>
        <vt:lpwstr/>
      </vt:variant>
      <vt:variant>
        <vt:i4>65581</vt:i4>
      </vt:variant>
      <vt:variant>
        <vt:i4>45</vt:i4>
      </vt:variant>
      <vt:variant>
        <vt:i4>0</vt:i4>
      </vt:variant>
      <vt:variant>
        <vt:i4>5</vt:i4>
      </vt:variant>
      <vt:variant>
        <vt:lpwstr>http://www.health.govt.nz/system/files/documents/pages/maori_health_model_tewhare.pdf</vt:lpwstr>
      </vt:variant>
      <vt:variant>
        <vt:lpwstr/>
      </vt:variant>
      <vt:variant>
        <vt:i4>8126464</vt:i4>
      </vt:variant>
      <vt:variant>
        <vt:i4>42</vt:i4>
      </vt:variant>
      <vt:variant>
        <vt:i4>0</vt:i4>
      </vt:variant>
      <vt:variant>
        <vt:i4>5</vt:i4>
      </vt:variant>
      <vt:variant>
        <vt:lpwstr>http://www.caldresources.org.nz/info/info/CALD-Toolkit_WDHB.pdf</vt:lpwstr>
      </vt:variant>
      <vt:variant>
        <vt:lpwstr/>
      </vt:variant>
      <vt:variant>
        <vt:i4>1769482</vt:i4>
      </vt:variant>
      <vt:variant>
        <vt:i4>39</vt:i4>
      </vt:variant>
      <vt:variant>
        <vt:i4>0</vt:i4>
      </vt:variant>
      <vt:variant>
        <vt:i4>5</vt:i4>
      </vt:variant>
      <vt:variant>
        <vt:lpwstr>http://www.business.govt.nz/worksafe/information-guidance/all-guidance-items/bullying-guidelines</vt:lpwstr>
      </vt:variant>
      <vt:variant>
        <vt:lpwstr/>
      </vt:variant>
      <vt:variant>
        <vt:i4>2097200</vt:i4>
      </vt:variant>
      <vt:variant>
        <vt:i4>36</vt:i4>
      </vt:variant>
      <vt:variant>
        <vt:i4>0</vt:i4>
      </vt:variant>
      <vt:variant>
        <vt:i4>5</vt:i4>
      </vt:variant>
      <vt:variant>
        <vt:lpwstr>http://www.youthlaw.co.nz/information/school/bullying/</vt:lpwstr>
      </vt:variant>
      <vt:variant>
        <vt:lpwstr/>
      </vt:variant>
      <vt:variant>
        <vt:i4>8126563</vt:i4>
      </vt:variant>
      <vt:variant>
        <vt:i4>33</vt:i4>
      </vt:variant>
      <vt:variant>
        <vt:i4>0</vt:i4>
      </vt:variant>
      <vt:variant>
        <vt:i4>5</vt:i4>
      </vt:variant>
      <vt:variant>
        <vt:lpwstr>http://www.cdhb.health.nz/Hospitals-Services/Health-Professionals/Documents/Synthetic-Cannabinoid-Withdrawal-Guideline 2014-GP.pdf</vt:lpwstr>
      </vt:variant>
      <vt:variant>
        <vt:lpwstr/>
      </vt:variant>
      <vt:variant>
        <vt:i4>4390916</vt:i4>
      </vt:variant>
      <vt:variant>
        <vt:i4>30</vt:i4>
      </vt:variant>
      <vt:variant>
        <vt:i4>0</vt:i4>
      </vt:variant>
      <vt:variant>
        <vt:i4>5</vt:i4>
      </vt:variant>
      <vt:variant>
        <vt:lpwstr>http://www.un.org/esa/socdev/documents/youth/youth-mental-health.pdf</vt:lpwstr>
      </vt:variant>
      <vt:variant>
        <vt:lpwstr/>
      </vt:variant>
      <vt:variant>
        <vt:i4>7012387</vt:i4>
      </vt:variant>
      <vt:variant>
        <vt:i4>27</vt:i4>
      </vt:variant>
      <vt:variant>
        <vt:i4>0</vt:i4>
      </vt:variant>
      <vt:variant>
        <vt:i4>5</vt:i4>
      </vt:variant>
      <vt:variant>
        <vt:lpwstr>http://www.centreformentalhealth.org.uk/pdfs/clinical_risk_management.pdf</vt:lpwstr>
      </vt:variant>
      <vt:variant>
        <vt:lpwstr/>
      </vt:variant>
      <vt:variant>
        <vt:i4>2687091</vt:i4>
      </vt:variant>
      <vt:variant>
        <vt:i4>24</vt:i4>
      </vt:variant>
      <vt:variant>
        <vt:i4>0</vt:i4>
      </vt:variant>
      <vt:variant>
        <vt:i4>5</vt:i4>
      </vt:variant>
      <vt:variant>
        <vt:lpwstr>http://webarchive.nationalarchives.gov.uk/+/www.dh.gov.uk/prod_consum_dh/groups/dh_digitalassets/@dh/@en/documents/digitalasset/dh_076512.pdf</vt:lpwstr>
      </vt:variant>
      <vt:variant>
        <vt:lpwstr/>
      </vt:variant>
      <vt:variant>
        <vt:i4>1114184</vt:i4>
      </vt:variant>
      <vt:variant>
        <vt:i4>21</vt:i4>
      </vt:variant>
      <vt:variant>
        <vt:i4>0</vt:i4>
      </vt:variant>
      <vt:variant>
        <vt:i4>5</vt:i4>
      </vt:variant>
      <vt:variant>
        <vt:lpwstr>https://www.health.govt.nz/your-health/conditions-and-treatments/mental-health/suicide-prevention</vt:lpwstr>
      </vt:variant>
      <vt:variant>
        <vt:lpwstr/>
      </vt:variant>
      <vt:variant>
        <vt:i4>5570632</vt:i4>
      </vt:variant>
      <vt:variant>
        <vt:i4>18</vt:i4>
      </vt:variant>
      <vt:variant>
        <vt:i4>0</vt:i4>
      </vt:variant>
      <vt:variant>
        <vt:i4>5</vt:i4>
      </vt:variant>
      <vt:variant>
        <vt:lpwstr>http://www.spinz.org.nz/page/291-responding-to-people-at-risk-of-suicide</vt:lpwstr>
      </vt:variant>
      <vt:variant>
        <vt:lpwstr/>
      </vt:variant>
      <vt:variant>
        <vt:i4>2687091</vt:i4>
      </vt:variant>
      <vt:variant>
        <vt:i4>15</vt:i4>
      </vt:variant>
      <vt:variant>
        <vt:i4>0</vt:i4>
      </vt:variant>
      <vt:variant>
        <vt:i4>5</vt:i4>
      </vt:variant>
      <vt:variant>
        <vt:lpwstr>http://webarchive.nationalarchives.gov.uk/+/www.dh.gov.uk/prod_consum_dh/groups/dh_digitalassets/@dh/@en/documents/digitalasset/dh_076512.pdf</vt:lpwstr>
      </vt:variant>
      <vt:variant>
        <vt:lpwstr/>
      </vt:variant>
      <vt:variant>
        <vt:i4>5898262</vt:i4>
      </vt:variant>
      <vt:variant>
        <vt:i4>12</vt:i4>
      </vt:variant>
      <vt:variant>
        <vt:i4>0</vt:i4>
      </vt:variant>
      <vt:variant>
        <vt:i4>5</vt:i4>
      </vt:variant>
      <vt:variant>
        <vt:lpwstr>http://www.health.govt.nz/system/files/documents/publications/family-violence-guideliens-elder-abuse-neglect.pdf</vt:lpwstr>
      </vt:variant>
      <vt:variant>
        <vt:lpwstr/>
      </vt:variant>
      <vt:variant>
        <vt:i4>5898271</vt:i4>
      </vt:variant>
      <vt:variant>
        <vt:i4>9</vt:i4>
      </vt:variant>
      <vt:variant>
        <vt:i4>0</vt:i4>
      </vt:variant>
      <vt:variant>
        <vt:i4>5</vt:i4>
      </vt:variant>
      <vt:variant>
        <vt:lpwstr>http://www.health.govt.nz/system/files/documents/publications/family-violence.pdf</vt:lpwstr>
      </vt:variant>
      <vt:variant>
        <vt:lpwstr/>
      </vt:variant>
      <vt:variant>
        <vt:i4>655402</vt:i4>
      </vt:variant>
      <vt:variant>
        <vt:i4>6</vt:i4>
      </vt:variant>
      <vt:variant>
        <vt:i4>0</vt:i4>
      </vt:variant>
      <vt:variant>
        <vt:i4>5</vt:i4>
      </vt:variant>
      <vt:variant>
        <vt:lpwstr>http://www.health.govt.nz/system/files/documents/publications/suicide_guideline.pdf</vt:lpwstr>
      </vt:variant>
      <vt:variant>
        <vt:lpwstr/>
      </vt:variant>
      <vt:variant>
        <vt:i4>5111822</vt:i4>
      </vt:variant>
      <vt:variant>
        <vt:i4>3</vt:i4>
      </vt:variant>
      <vt:variant>
        <vt:i4>0</vt:i4>
      </vt:variant>
      <vt:variant>
        <vt:i4>5</vt:i4>
      </vt:variant>
      <vt:variant>
        <vt:lpwstr>http://www.moh.govt.nz/notebook/nbbooks.nsf/0/2FE380C25ED2F1B34C25668600741EBA/$file/mentalra.pdf</vt:lpwstr>
      </vt:variant>
      <vt:variant>
        <vt:lpwstr/>
      </vt:variant>
      <vt:variant>
        <vt:i4>7536761</vt:i4>
      </vt:variant>
      <vt:variant>
        <vt:i4>0</vt:i4>
      </vt:variant>
      <vt:variant>
        <vt:i4>0</vt:i4>
      </vt:variant>
      <vt:variant>
        <vt:i4>5</vt:i4>
      </vt:variant>
      <vt:variant>
        <vt:lpwstr>http://www.tepou.co.nz/library/tepou/assessment-and-management-of-risk-to-others---guidelines-and-development-of-training-toolkit-2006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Sarah</dc:creator>
  <cp:keywords/>
  <cp:lastModifiedBy>Sarah Harnisch</cp:lastModifiedBy>
  <cp:revision>51</cp:revision>
  <dcterms:created xsi:type="dcterms:W3CDTF">2024-02-22T17:18:00Z</dcterms:created>
  <dcterms:modified xsi:type="dcterms:W3CDTF">2024-02-26T04:31:00Z</dcterms:modified>
</cp:coreProperties>
</file>